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F5B" w:rsidRDefault="0053313F" w:rsidP="00212571">
      <w:pPr>
        <w:pStyle w:val="Nagwek1"/>
        <w:spacing w:before="0" w:after="0"/>
        <w:contextualSpacing/>
        <w:jc w:val="center"/>
        <w:rPr>
          <w:rFonts w:ascii="Calibri" w:hAnsi="Calibri" w:cs="Calibri"/>
          <w:sz w:val="22"/>
          <w:szCs w:val="22"/>
        </w:rPr>
      </w:pPr>
      <w:r w:rsidRPr="002739A0">
        <w:rPr>
          <w:rFonts w:ascii="Calibri" w:hAnsi="Calibri" w:cs="Calibri"/>
          <w:sz w:val="22"/>
          <w:szCs w:val="22"/>
        </w:rPr>
        <w:t>W</w:t>
      </w:r>
      <w:r w:rsidR="007C5F5B" w:rsidRPr="002739A0">
        <w:rPr>
          <w:rFonts w:ascii="Calibri" w:hAnsi="Calibri" w:cs="Calibri"/>
          <w:sz w:val="22"/>
          <w:szCs w:val="22"/>
        </w:rPr>
        <w:t>PROWADZENIE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DO SKONSOLIDOWANEGO BILANSU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7C5F5B" w:rsidRPr="002739A0">
        <w:rPr>
          <w:rFonts w:ascii="Calibri" w:hAnsi="Calibri" w:cs="Calibri"/>
          <w:sz w:val="22"/>
          <w:szCs w:val="22"/>
        </w:rPr>
        <w:t>MIASTA STOŁECZNEGO WARSZAWY</w:t>
      </w:r>
      <w:r w:rsidR="00D471F3" w:rsidRPr="002739A0">
        <w:rPr>
          <w:rFonts w:ascii="Calibri" w:hAnsi="Calibri" w:cs="Calibri"/>
          <w:sz w:val="22"/>
          <w:szCs w:val="22"/>
        </w:rPr>
        <w:t xml:space="preserve"> </w:t>
      </w:r>
      <w:r w:rsidR="00847B7E">
        <w:rPr>
          <w:rFonts w:ascii="Calibri" w:hAnsi="Calibri" w:cs="Calibri"/>
          <w:sz w:val="22"/>
          <w:szCs w:val="22"/>
        </w:rPr>
        <w:t xml:space="preserve">na dzień </w:t>
      </w:r>
      <w:r w:rsidR="00847B7E" w:rsidRPr="0013381F">
        <w:rPr>
          <w:rFonts w:ascii="Calibri" w:hAnsi="Calibri" w:cs="Calibri"/>
          <w:sz w:val="22"/>
          <w:szCs w:val="22"/>
        </w:rPr>
        <w:t>31.12.2022</w:t>
      </w:r>
      <w:r w:rsidR="007C5F5B" w:rsidRPr="0013381F">
        <w:rPr>
          <w:rFonts w:ascii="Calibri" w:hAnsi="Calibri" w:cs="Calibri"/>
          <w:sz w:val="22"/>
          <w:szCs w:val="22"/>
        </w:rPr>
        <w:t xml:space="preserve"> r.</w:t>
      </w:r>
    </w:p>
    <w:p w:rsidR="00212571" w:rsidRPr="00212571" w:rsidRDefault="00212571" w:rsidP="00212571">
      <w:pPr>
        <w:jc w:val="center"/>
        <w:rPr>
          <w:b/>
        </w:rPr>
      </w:pPr>
      <w:r w:rsidRPr="00212571">
        <w:rPr>
          <w:b/>
        </w:rPr>
        <w:t xml:space="preserve">Korekta </w:t>
      </w:r>
      <w:r w:rsidR="00D307B0">
        <w:rPr>
          <w:b/>
        </w:rPr>
        <w:t xml:space="preserve">nr </w:t>
      </w:r>
      <w:r w:rsidRPr="00212571">
        <w:rPr>
          <w:b/>
        </w:rPr>
        <w:t>1</w:t>
      </w:r>
    </w:p>
    <w:p w:rsidR="007C5F5B" w:rsidRPr="002739A0" w:rsidRDefault="007C5F5B" w:rsidP="005335F8">
      <w:pPr>
        <w:pStyle w:val="Nagwek2"/>
        <w:numPr>
          <w:ilvl w:val="0"/>
          <w:numId w:val="27"/>
        </w:numPr>
      </w:pPr>
      <w:r w:rsidRPr="002739A0">
        <w:t>Informacje wstępne</w:t>
      </w:r>
    </w:p>
    <w:p w:rsidR="007C5F5B" w:rsidRPr="0013381F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prezentuje sytuację majątkową i finansową </w:t>
      </w:r>
      <w:r w:rsidR="00C709CB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jako jednostki do</w:t>
      </w:r>
      <w:r w:rsidR="00833513" w:rsidRPr="002739A0">
        <w:rPr>
          <w:rFonts w:cs="Calibri"/>
        </w:rPr>
        <w:t xml:space="preserve">minującej </w:t>
      </w:r>
      <w:r w:rsidR="00833513" w:rsidRPr="0013381F">
        <w:rPr>
          <w:rFonts w:cs="Calibri"/>
        </w:rPr>
        <w:t>za o</w:t>
      </w:r>
      <w:r w:rsidR="00847B7E" w:rsidRPr="0013381F">
        <w:rPr>
          <w:rFonts w:cs="Calibri"/>
        </w:rPr>
        <w:t>kres od 01.01.2022</w:t>
      </w:r>
      <w:r w:rsidR="002F5387" w:rsidRPr="0013381F">
        <w:rPr>
          <w:rFonts w:cs="Calibri"/>
        </w:rPr>
        <w:t xml:space="preserve"> </w:t>
      </w:r>
      <w:r w:rsidR="00847B7E" w:rsidRPr="0013381F">
        <w:rPr>
          <w:rFonts w:cs="Calibri"/>
        </w:rPr>
        <w:t>r. do 31.12.2022</w:t>
      </w:r>
      <w:r w:rsidR="00F32E37" w:rsidRPr="0013381F">
        <w:rPr>
          <w:rFonts w:cs="Calibri"/>
        </w:rPr>
        <w:t xml:space="preserve"> </w:t>
      </w:r>
      <w:r w:rsidRPr="0013381F">
        <w:rPr>
          <w:rFonts w:cs="Calibri"/>
        </w:rPr>
        <w:t>r.</w:t>
      </w:r>
    </w:p>
    <w:p w:rsidR="00BC1F62" w:rsidRPr="0013381F" w:rsidRDefault="007C5F5B" w:rsidP="00BC1F62">
      <w:pPr>
        <w:numPr>
          <w:ilvl w:val="1"/>
          <w:numId w:val="11"/>
        </w:numPr>
        <w:ind w:left="993" w:hanging="567"/>
        <w:rPr>
          <w:rFonts w:cs="Calibri"/>
        </w:rPr>
      </w:pPr>
      <w:r w:rsidRPr="0013381F">
        <w:rPr>
          <w:rFonts w:cs="Calibri"/>
        </w:rPr>
        <w:t xml:space="preserve">Podstawy prawne sporządzenia </w:t>
      </w:r>
      <w:r w:rsidR="00847B7E" w:rsidRPr="0013381F">
        <w:rPr>
          <w:rFonts w:cs="Calibri"/>
        </w:rPr>
        <w:t>skonsolidowanego bilansu za 2022</w:t>
      </w:r>
      <w:r w:rsidRPr="0013381F">
        <w:rPr>
          <w:rFonts w:cs="Calibri"/>
        </w:rPr>
        <w:t xml:space="preserve"> r.:</w:t>
      </w:r>
    </w:p>
    <w:p w:rsidR="007C5F5B" w:rsidRPr="002739A0" w:rsidRDefault="007C5F5B" w:rsidP="00004886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Ustawa z dnia 29 września 1994 r. o rachunkowości (Dz. U. z 20</w:t>
      </w:r>
      <w:r w:rsidR="00675247">
        <w:rPr>
          <w:rFonts w:cs="Calibri"/>
        </w:rPr>
        <w:t>23</w:t>
      </w:r>
      <w:r w:rsidRPr="002739A0">
        <w:rPr>
          <w:rFonts w:cs="Calibri"/>
        </w:rPr>
        <w:t xml:space="preserve"> r. poz. </w:t>
      </w:r>
      <w:r w:rsidR="00675247">
        <w:rPr>
          <w:rFonts w:cs="Calibri"/>
        </w:rPr>
        <w:t>120</w:t>
      </w:r>
      <w:r w:rsidR="00004886">
        <w:rPr>
          <w:rFonts w:cs="Calibri"/>
        </w:rPr>
        <w:t xml:space="preserve"> z </w:t>
      </w:r>
      <w:proofErr w:type="spellStart"/>
      <w:r w:rsidR="00004886">
        <w:rPr>
          <w:rFonts w:cs="Calibri"/>
        </w:rPr>
        <w:t>późn</w:t>
      </w:r>
      <w:proofErr w:type="spellEnd"/>
      <w:r w:rsidR="00004886">
        <w:rPr>
          <w:rFonts w:cs="Calibri"/>
        </w:rPr>
        <w:t>. zm.</w:t>
      </w:r>
      <w:r w:rsidRPr="002739A0">
        <w:rPr>
          <w:rFonts w:cs="Calibri"/>
        </w:rPr>
        <w:t>).</w:t>
      </w:r>
    </w:p>
    <w:p w:rsidR="007C5F5B" w:rsidRPr="002739A0" w:rsidRDefault="00913DBF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Rozporządzenie Ministra Rozwoju i Finans</w:t>
      </w:r>
      <w:r w:rsidR="003729E7">
        <w:rPr>
          <w:rFonts w:cs="Calibri"/>
        </w:rPr>
        <w:t>ów z dnia 13 września 2017 r. w </w:t>
      </w:r>
      <w:r w:rsidRPr="002739A0">
        <w:rPr>
          <w:rFonts w:cs="Calibri"/>
        </w:rPr>
        <w:t>sprawie rachunkowości oraz planów kont dla budżetu państwa, budżetów jednostek samorządu terytorialnego, jednostek budżetowych, samorządowych zakładów budżetowych, państwowych funduszy celowych oraz państwowych jednostek budżetowych mających siedzibę poza granicami Rzeczypo</w:t>
      </w:r>
      <w:r w:rsidR="00D812E4" w:rsidRPr="002739A0">
        <w:rPr>
          <w:rFonts w:cs="Calibri"/>
        </w:rPr>
        <w:t>spolitej Polskiej (Dz. U. z 2020 r. poz. 342</w:t>
      </w:r>
      <w:r w:rsidRPr="002739A0">
        <w:rPr>
          <w:rFonts w:cs="Calibri"/>
        </w:rPr>
        <w:t>)</w:t>
      </w:r>
      <w:r w:rsidR="007C5F5B" w:rsidRPr="002739A0">
        <w:rPr>
          <w:rFonts w:cs="Calibri"/>
        </w:rPr>
        <w:t>.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>Z</w:t>
      </w:r>
      <w:r w:rsidR="007C5F5B" w:rsidRPr="002739A0">
        <w:rPr>
          <w:rFonts w:cs="Calibri"/>
        </w:rPr>
        <w:t xml:space="preserve">arządzenie </w:t>
      </w:r>
      <w:r w:rsidR="00E24843" w:rsidRPr="002739A0">
        <w:rPr>
          <w:rFonts w:cs="Calibri"/>
        </w:rPr>
        <w:t>Nr 3222</w:t>
      </w:r>
      <w:r w:rsidR="00161149" w:rsidRPr="002739A0">
        <w:rPr>
          <w:rFonts w:cs="Calibri"/>
        </w:rPr>
        <w:t>/201</w:t>
      </w:r>
      <w:r w:rsidR="00E24843" w:rsidRPr="002739A0">
        <w:rPr>
          <w:rFonts w:cs="Calibri"/>
        </w:rPr>
        <w:t>2</w:t>
      </w:r>
      <w:r w:rsidR="00161149" w:rsidRPr="002739A0">
        <w:rPr>
          <w:rFonts w:cs="Calibri"/>
        </w:rPr>
        <w:t xml:space="preserve"> </w:t>
      </w:r>
      <w:r w:rsidR="00F8580F" w:rsidRPr="002739A0">
        <w:rPr>
          <w:rFonts w:cs="Calibri"/>
        </w:rPr>
        <w:t xml:space="preserve">Prezydenta m.st. Warszawy </w:t>
      </w:r>
      <w:r w:rsidR="00C54022" w:rsidRPr="002739A0">
        <w:rPr>
          <w:rFonts w:cs="Calibri"/>
        </w:rPr>
        <w:t xml:space="preserve">z dnia 13 sierpnia </w:t>
      </w:r>
      <w:r w:rsidR="007C5F5B" w:rsidRPr="002739A0">
        <w:rPr>
          <w:rFonts w:cs="Calibri"/>
        </w:rPr>
        <w:t>201</w:t>
      </w:r>
      <w:r w:rsidR="00C54022" w:rsidRPr="002739A0">
        <w:rPr>
          <w:rFonts w:cs="Calibri"/>
        </w:rPr>
        <w:t>2</w:t>
      </w:r>
      <w:r w:rsidR="002F5387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 w sprawie przyjętych zasad rachunkowości w Urzędzie m.st. Warszawy</w:t>
      </w:r>
      <w:r w:rsidR="00C54022" w:rsidRPr="002739A0">
        <w:rPr>
          <w:rFonts w:cs="Calibri"/>
        </w:rPr>
        <w:t xml:space="preserve"> z </w:t>
      </w:r>
      <w:proofErr w:type="spellStart"/>
      <w:r w:rsidR="00C54022" w:rsidRPr="002739A0">
        <w:rPr>
          <w:rFonts w:cs="Calibri"/>
        </w:rPr>
        <w:t>póź</w:t>
      </w:r>
      <w:r w:rsidR="000A5271" w:rsidRPr="002739A0">
        <w:rPr>
          <w:rFonts w:cs="Calibri"/>
        </w:rPr>
        <w:t>n</w:t>
      </w:r>
      <w:proofErr w:type="spellEnd"/>
      <w:r w:rsidR="000A5271" w:rsidRPr="002739A0">
        <w:rPr>
          <w:rFonts w:cs="Calibri"/>
        </w:rPr>
        <w:t xml:space="preserve">. </w:t>
      </w:r>
      <w:r w:rsidR="00C54022" w:rsidRPr="002739A0">
        <w:rPr>
          <w:rFonts w:cs="Calibri"/>
        </w:rPr>
        <w:t>zm.</w:t>
      </w:r>
    </w:p>
    <w:p w:rsidR="00D276C5" w:rsidRPr="002739A0" w:rsidRDefault="00B2130A" w:rsidP="00A662FC">
      <w:pPr>
        <w:numPr>
          <w:ilvl w:val="2"/>
          <w:numId w:val="11"/>
        </w:numPr>
        <w:tabs>
          <w:tab w:val="left" w:pos="1843"/>
        </w:tabs>
        <w:ind w:left="1843" w:hanging="850"/>
        <w:contextualSpacing/>
        <w:rPr>
          <w:rFonts w:cs="Calibri"/>
        </w:rPr>
      </w:pPr>
      <w:r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Zarządzenie</w:t>
      </w:r>
      <w:r w:rsidR="00C54022" w:rsidRPr="002739A0">
        <w:rPr>
          <w:rFonts w:cs="Calibri"/>
        </w:rPr>
        <w:t xml:space="preserve"> Nr </w:t>
      </w:r>
      <w:r w:rsidR="00675247">
        <w:rPr>
          <w:rFonts w:cs="Calibri"/>
        </w:rPr>
        <w:t>86/2023</w:t>
      </w:r>
      <w:r w:rsidR="00F76C61" w:rsidRPr="002739A0">
        <w:rPr>
          <w:rFonts w:cs="Calibri"/>
        </w:rPr>
        <w:t xml:space="preserve"> </w:t>
      </w:r>
      <w:r w:rsidR="00161149" w:rsidRPr="002739A0">
        <w:rPr>
          <w:rFonts w:cs="Calibri"/>
        </w:rPr>
        <w:t>Prezydent</w:t>
      </w:r>
      <w:r w:rsidR="00675247">
        <w:rPr>
          <w:rFonts w:cs="Calibri"/>
        </w:rPr>
        <w:t>a m.st. Warszawy z dnia 19</w:t>
      </w:r>
      <w:r w:rsidR="00227523" w:rsidRPr="002739A0">
        <w:rPr>
          <w:rFonts w:cs="Calibri"/>
        </w:rPr>
        <w:t xml:space="preserve"> stycznia</w:t>
      </w:r>
      <w:r w:rsidR="00F76C61" w:rsidRPr="002739A0">
        <w:rPr>
          <w:rFonts w:cs="Calibri"/>
        </w:rPr>
        <w:t xml:space="preserve"> 202</w:t>
      </w:r>
      <w:r w:rsidR="00675247">
        <w:rPr>
          <w:rFonts w:cs="Calibri"/>
        </w:rPr>
        <w:t>3</w:t>
      </w:r>
      <w:r w:rsidR="002F5387" w:rsidRPr="002739A0">
        <w:rPr>
          <w:rFonts w:cs="Calibri"/>
        </w:rPr>
        <w:t xml:space="preserve"> </w:t>
      </w:r>
      <w:r w:rsidR="001711A1" w:rsidRPr="002739A0">
        <w:rPr>
          <w:rFonts w:cs="Calibri"/>
        </w:rPr>
        <w:t>r. w </w:t>
      </w:r>
      <w:r w:rsidR="00161149" w:rsidRPr="002739A0">
        <w:rPr>
          <w:rFonts w:cs="Calibri"/>
        </w:rPr>
        <w:t xml:space="preserve">sprawie zasad obiegu </w:t>
      </w:r>
      <w:r w:rsidR="00A65A0D" w:rsidRPr="002739A0">
        <w:rPr>
          <w:rFonts w:cs="Calibri"/>
        </w:rPr>
        <w:t>i</w:t>
      </w:r>
      <w:r w:rsidR="00161149" w:rsidRPr="002739A0">
        <w:rPr>
          <w:rFonts w:cs="Calibri"/>
        </w:rPr>
        <w:t xml:space="preserve"> kontroli spraw</w:t>
      </w:r>
      <w:r w:rsidR="001711A1" w:rsidRPr="002739A0">
        <w:rPr>
          <w:rFonts w:cs="Calibri"/>
        </w:rPr>
        <w:t>ozdań budżetowych, sprawozdań w </w:t>
      </w:r>
      <w:r w:rsidR="00161149" w:rsidRPr="002739A0">
        <w:rPr>
          <w:rFonts w:cs="Calibri"/>
        </w:rPr>
        <w:t>zakresie operacji finansowych oraz sprawozd</w:t>
      </w:r>
      <w:r w:rsidR="001711A1" w:rsidRPr="002739A0">
        <w:rPr>
          <w:rFonts w:cs="Calibri"/>
        </w:rPr>
        <w:t>ań finansowych w Urzędzie m.st. </w:t>
      </w:r>
      <w:r w:rsidR="00161149" w:rsidRPr="002739A0">
        <w:rPr>
          <w:rFonts w:cs="Calibri"/>
        </w:rPr>
        <w:t>Warszawy i jednostkach organizacyjnych m.st. Warszawy</w:t>
      </w:r>
      <w:r w:rsidR="00C82C16" w:rsidRPr="002739A0">
        <w:rPr>
          <w:rFonts w:cs="Calibri"/>
        </w:rPr>
        <w:t>.</w:t>
      </w:r>
    </w:p>
    <w:p w:rsidR="003626D6" w:rsidRPr="002739A0" w:rsidRDefault="003626D6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Zasady sporządzania skonsolidowanego bilansu m.st. Warszawy.</w:t>
      </w:r>
    </w:p>
    <w:p w:rsidR="007C5F5B" w:rsidRPr="002739A0" w:rsidRDefault="007C5F5B" w:rsidP="00E6422B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</w:t>
      </w:r>
      <w:r w:rsidR="00E12C58" w:rsidRPr="002739A0">
        <w:rPr>
          <w:rFonts w:cs="Calibri"/>
        </w:rPr>
        <w:t xml:space="preserve">bilans </w:t>
      </w:r>
      <w:r w:rsidR="00020523" w:rsidRPr="002739A0">
        <w:rPr>
          <w:rFonts w:cs="Calibri"/>
        </w:rPr>
        <w:t>Miasta</w:t>
      </w:r>
      <w:r w:rsidR="00E12C58"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 xml:space="preserve">Stołecznego </w:t>
      </w:r>
      <w:r w:rsidRPr="002739A0">
        <w:rPr>
          <w:rFonts w:cs="Calibri"/>
        </w:rPr>
        <w:t xml:space="preserve">Warszawy jako jednostki dominującej obejmuje dane </w:t>
      </w:r>
      <w:r w:rsidR="00F8580F" w:rsidRPr="002739A0">
        <w:rPr>
          <w:rFonts w:cs="Calibri"/>
        </w:rPr>
        <w:t>finansowe z bilansów</w:t>
      </w:r>
      <w:r w:rsidRPr="002739A0">
        <w:rPr>
          <w:rFonts w:cs="Calibri"/>
        </w:rPr>
        <w:t xml:space="preserve"> następu</w:t>
      </w:r>
      <w:r w:rsidR="00F8580F" w:rsidRPr="002739A0">
        <w:rPr>
          <w:rFonts w:cs="Calibri"/>
        </w:rPr>
        <w:t>ją</w:t>
      </w:r>
      <w:r w:rsidR="00F73C7B" w:rsidRPr="002739A0">
        <w:rPr>
          <w:rFonts w:cs="Calibri"/>
        </w:rPr>
        <w:t>cych jednostek organizacyjnych</w:t>
      </w:r>
      <w:r w:rsidR="00DF7ECC" w:rsidRPr="002739A0">
        <w:rPr>
          <w:rFonts w:cs="Calibri"/>
        </w:rPr>
        <w:t>:</w:t>
      </w:r>
    </w:p>
    <w:p w:rsidR="007C5F5B" w:rsidRPr="002739A0" w:rsidRDefault="00E51100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</w:t>
      </w:r>
      <w:r w:rsidR="00F8580F" w:rsidRPr="002739A0">
        <w:rPr>
          <w:rFonts w:cs="Calibri"/>
        </w:rPr>
        <w:t xml:space="preserve">ednostek </w:t>
      </w:r>
      <w:r w:rsidR="00DF57B5" w:rsidRPr="002739A0">
        <w:rPr>
          <w:rFonts w:cs="Calibri"/>
        </w:rPr>
        <w:t>pomocniczych</w:t>
      </w:r>
      <w:r w:rsidR="001711A1" w:rsidRPr="002739A0">
        <w:rPr>
          <w:rFonts w:cs="Calibri"/>
        </w:rPr>
        <w:t>,</w:t>
      </w:r>
      <w:r w:rsidR="00F8580F" w:rsidRPr="002739A0">
        <w:rPr>
          <w:rFonts w:cs="Calibri"/>
        </w:rPr>
        <w:t xml:space="preserve"> </w:t>
      </w:r>
      <w:r w:rsidR="00DF57B5" w:rsidRPr="002739A0">
        <w:rPr>
          <w:rFonts w:cs="Calibri"/>
        </w:rPr>
        <w:t>tj.</w:t>
      </w:r>
      <w:r w:rsidR="00F8580F" w:rsidRPr="002739A0">
        <w:rPr>
          <w:rFonts w:cs="Calibri"/>
        </w:rPr>
        <w:t xml:space="preserve"> Urzę</w:t>
      </w:r>
      <w:r w:rsidR="007C5F5B" w:rsidRPr="002739A0">
        <w:rPr>
          <w:rFonts w:cs="Calibri"/>
        </w:rPr>
        <w:t>d</w:t>
      </w:r>
      <w:r w:rsidR="007A799E" w:rsidRPr="002739A0">
        <w:rPr>
          <w:rFonts w:cs="Calibri"/>
        </w:rPr>
        <w:t>ów Dzielnic</w:t>
      </w:r>
      <w:r w:rsidR="007C5F5B" w:rsidRPr="002739A0">
        <w:rPr>
          <w:rFonts w:cs="Calibri"/>
        </w:rPr>
        <w:t xml:space="preserve"> m.st. Warszawy,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jednostek budżetowych, w tym Urzędu m.st. Warszawy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samorządowych zakładów budżetowych</w:t>
      </w:r>
      <w:r w:rsidR="007C5F5B" w:rsidRPr="002739A0">
        <w:rPr>
          <w:rFonts w:cs="Calibri"/>
        </w:rPr>
        <w:t>,</w:t>
      </w:r>
    </w:p>
    <w:p w:rsidR="007C5F5B" w:rsidRPr="002739A0" w:rsidRDefault="00A662FC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i</w:t>
      </w:r>
      <w:r w:rsidR="00DF57B5" w:rsidRPr="002739A0">
        <w:rPr>
          <w:rFonts w:cs="Calibri"/>
        </w:rPr>
        <w:t>nstytucji kultury, dla których m.st. Warszawa jest organizatorem</w:t>
      </w:r>
      <w:r w:rsidR="007C5F5B" w:rsidRPr="002739A0">
        <w:rPr>
          <w:rFonts w:cs="Calibri"/>
        </w:rPr>
        <w:t>,</w:t>
      </w:r>
    </w:p>
    <w:p w:rsidR="007C5F5B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contextualSpacing/>
        <w:rPr>
          <w:rFonts w:cs="Calibri"/>
        </w:rPr>
      </w:pPr>
      <w:r w:rsidRPr="002739A0">
        <w:rPr>
          <w:rFonts w:cs="Calibri"/>
        </w:rPr>
        <w:t>samodzielnych publicznych zakładów opiek</w:t>
      </w:r>
      <w:r w:rsidR="001711A1" w:rsidRPr="002739A0">
        <w:rPr>
          <w:rFonts w:cs="Calibri"/>
        </w:rPr>
        <w:t>i zdrowotnej, dla których m.st. </w:t>
      </w:r>
      <w:r w:rsidRPr="002739A0">
        <w:rPr>
          <w:rFonts w:cs="Calibri"/>
        </w:rPr>
        <w:t>Warszawa jest podmiotem tworzącym,</w:t>
      </w:r>
    </w:p>
    <w:p w:rsidR="00DF57B5" w:rsidRPr="002739A0" w:rsidRDefault="00DF57B5" w:rsidP="00A662FC">
      <w:pPr>
        <w:numPr>
          <w:ilvl w:val="2"/>
          <w:numId w:val="11"/>
        </w:numPr>
        <w:tabs>
          <w:tab w:val="left" w:pos="1843"/>
        </w:tabs>
        <w:ind w:left="1843" w:hanging="851"/>
        <w:rPr>
          <w:rFonts w:cs="Calibri"/>
        </w:rPr>
      </w:pPr>
      <w:r w:rsidRPr="002739A0">
        <w:rPr>
          <w:rFonts w:cs="Calibri"/>
        </w:rPr>
        <w:t>spółek prawa handlowego, w których m.st</w:t>
      </w:r>
      <w:r w:rsidR="003729E7">
        <w:rPr>
          <w:rFonts w:cs="Calibri"/>
        </w:rPr>
        <w:t>. Warszawa jest udziałowcem lub </w:t>
      </w:r>
      <w:r w:rsidRPr="002739A0">
        <w:rPr>
          <w:rFonts w:cs="Calibri"/>
        </w:rPr>
        <w:t>akcjonariuszem.</w:t>
      </w:r>
    </w:p>
    <w:p w:rsidR="007C5F5B" w:rsidRPr="002739A0" w:rsidRDefault="007C5F5B" w:rsidP="008E42EA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t xml:space="preserve">Skonsolidowany bilans </w:t>
      </w:r>
      <w:r w:rsidR="00020523" w:rsidRPr="002739A0">
        <w:rPr>
          <w:rFonts w:cs="Calibri"/>
        </w:rPr>
        <w:t>Miasta</w:t>
      </w:r>
      <w:r w:rsidRPr="002739A0">
        <w:rPr>
          <w:rFonts w:cs="Calibri"/>
        </w:rPr>
        <w:t xml:space="preserve"> </w:t>
      </w:r>
      <w:r w:rsidR="00020523" w:rsidRPr="002739A0">
        <w:rPr>
          <w:rFonts w:cs="Calibri"/>
        </w:rPr>
        <w:t>Stołecznego</w:t>
      </w:r>
      <w:r w:rsidRPr="002739A0">
        <w:rPr>
          <w:rFonts w:cs="Calibri"/>
        </w:rPr>
        <w:t xml:space="preserve"> Warszawy sporządzono przy założe</w:t>
      </w:r>
      <w:r w:rsidR="001711A1" w:rsidRPr="002739A0">
        <w:rPr>
          <w:rFonts w:cs="Calibri"/>
        </w:rPr>
        <w:t>niu kontynuowania działalności j</w:t>
      </w:r>
      <w:r w:rsidRPr="002739A0">
        <w:rPr>
          <w:rFonts w:cs="Calibri"/>
        </w:rPr>
        <w:t>ednostki w dając</w:t>
      </w:r>
      <w:r w:rsidR="001711A1" w:rsidRPr="002739A0">
        <w:rPr>
          <w:rFonts w:cs="Calibri"/>
        </w:rPr>
        <w:t>ej się przewidzieć perspektywie</w:t>
      </w:r>
      <w:r w:rsidR="00E37EC0" w:rsidRPr="002739A0">
        <w:rPr>
          <w:rFonts w:cs="Calibri"/>
        </w:rPr>
        <w:t>.</w:t>
      </w:r>
      <w:r w:rsidRPr="002739A0">
        <w:rPr>
          <w:rFonts w:cs="Calibri"/>
        </w:rPr>
        <w:t xml:space="preserve"> </w:t>
      </w:r>
      <w:r w:rsidR="00E37EC0" w:rsidRPr="002739A0">
        <w:rPr>
          <w:rFonts w:cs="Calibri"/>
        </w:rPr>
        <w:t xml:space="preserve">Nie istnieją </w:t>
      </w:r>
      <w:r w:rsidRPr="002739A0">
        <w:rPr>
          <w:rFonts w:cs="Calibri"/>
        </w:rPr>
        <w:t xml:space="preserve">okoliczności wskazujące na zagrożenie kontynuowania </w:t>
      </w:r>
      <w:r w:rsidR="00E37EC0" w:rsidRPr="002739A0">
        <w:rPr>
          <w:rFonts w:cs="Calibri"/>
        </w:rPr>
        <w:t>działalności</w:t>
      </w:r>
      <w:r w:rsidRPr="002739A0">
        <w:rPr>
          <w:rFonts w:cs="Calibri"/>
        </w:rPr>
        <w:t>.</w:t>
      </w:r>
    </w:p>
    <w:p w:rsidR="007C5F5B" w:rsidRPr="002739A0" w:rsidRDefault="007C5F5B" w:rsidP="00914AA0">
      <w:pPr>
        <w:numPr>
          <w:ilvl w:val="1"/>
          <w:numId w:val="11"/>
        </w:numPr>
        <w:ind w:left="993" w:hanging="567"/>
        <w:rPr>
          <w:rFonts w:cs="Calibri"/>
        </w:rPr>
      </w:pPr>
      <w:r w:rsidRPr="002739A0">
        <w:rPr>
          <w:rFonts w:cs="Calibri"/>
        </w:rPr>
        <w:lastRenderedPageBreak/>
        <w:t>Da</w:t>
      </w:r>
      <w:r w:rsidR="00DC1843" w:rsidRPr="002739A0">
        <w:rPr>
          <w:rFonts w:cs="Calibri"/>
        </w:rPr>
        <w:t>ne finansowe jednostek wchodzących</w:t>
      </w:r>
      <w:r w:rsidRPr="002739A0">
        <w:rPr>
          <w:rFonts w:cs="Calibri"/>
        </w:rPr>
        <w:t xml:space="preserve"> w skład </w:t>
      </w:r>
      <w:r w:rsidR="00F8580F" w:rsidRPr="002739A0">
        <w:rPr>
          <w:rFonts w:cs="Calibri"/>
        </w:rPr>
        <w:t xml:space="preserve">skonsolidowanego </w:t>
      </w:r>
      <w:r w:rsidRPr="002739A0">
        <w:rPr>
          <w:rFonts w:cs="Calibri"/>
        </w:rPr>
        <w:t xml:space="preserve">bilansu </w:t>
      </w:r>
      <w:r w:rsidR="00020523" w:rsidRPr="002739A0">
        <w:rPr>
          <w:rFonts w:cs="Calibri"/>
        </w:rPr>
        <w:t xml:space="preserve">Miasta Stołecznego Warszawy </w:t>
      </w:r>
      <w:r w:rsidRPr="002739A0">
        <w:rPr>
          <w:rFonts w:cs="Calibri"/>
        </w:rPr>
        <w:t>zostały skonsolidowane metodą pełną i metodą praw własności.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 xml:space="preserve">Konsolidacja metodą pełną </w:t>
      </w:r>
    </w:p>
    <w:p w:rsidR="00606A79" w:rsidRPr="002739A0" w:rsidRDefault="00606A79" w:rsidP="00FC02F3">
      <w:pPr>
        <w:numPr>
          <w:ilvl w:val="1"/>
          <w:numId w:val="11"/>
        </w:numPr>
        <w:ind w:left="993" w:hanging="567"/>
        <w:contextualSpacing/>
      </w:pPr>
      <w:r w:rsidRPr="002739A0">
        <w:t>Dane jednostki dominującej skonsolidowano z danymi jednostek organizacyjnych metodą pełną poprzez sumowanie w pełnej wartości poszczeg</w:t>
      </w:r>
      <w:r w:rsidR="003729E7">
        <w:t>ólnych pozycji bilansowych oraz </w:t>
      </w:r>
      <w:r w:rsidRPr="002739A0">
        <w:t xml:space="preserve">dokonano korekt i </w:t>
      </w:r>
      <w:proofErr w:type="spellStart"/>
      <w:r w:rsidRPr="002739A0">
        <w:t>wyłączeń</w:t>
      </w:r>
      <w:proofErr w:type="spellEnd"/>
      <w:r w:rsidRPr="002739A0">
        <w:t>.</w:t>
      </w:r>
    </w:p>
    <w:p w:rsidR="00606A79" w:rsidRPr="002739A0" w:rsidRDefault="00F3066E" w:rsidP="00FC02F3">
      <w:pPr>
        <w:numPr>
          <w:ilvl w:val="1"/>
          <w:numId w:val="11"/>
        </w:numPr>
        <w:ind w:left="993" w:hanging="567"/>
        <w:contextualSpacing/>
      </w:pPr>
      <w:r w:rsidRPr="002739A0">
        <w:t>M</w:t>
      </w:r>
      <w:r w:rsidR="007C5F5B" w:rsidRPr="002739A0">
        <w:t xml:space="preserve">etodą </w:t>
      </w:r>
      <w:r w:rsidRPr="002739A0">
        <w:t xml:space="preserve">konsolidacji </w:t>
      </w:r>
      <w:r w:rsidR="007C5F5B" w:rsidRPr="002739A0">
        <w:t>pełn</w:t>
      </w:r>
      <w:r w:rsidRPr="002739A0">
        <w:t>ej</w:t>
      </w:r>
      <w:r w:rsidR="007C5F5B" w:rsidRPr="002739A0">
        <w:t xml:space="preserve"> objęto:</w:t>
      </w:r>
    </w:p>
    <w:p w:rsidR="00C40800" w:rsidRPr="002739A0" w:rsidRDefault="00C4080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Bilans z wykonania budżetu Miasta st. Warszawy</w:t>
      </w:r>
      <w:r w:rsidR="007E59AB" w:rsidRPr="002739A0">
        <w:t>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225" w:hanging="232"/>
        <w:contextualSpacing/>
      </w:pPr>
      <w:r w:rsidRPr="002739A0">
        <w:t>Ł</w:t>
      </w:r>
      <w:r w:rsidR="007C5F5B" w:rsidRPr="002739A0">
        <w:t>ącz</w:t>
      </w:r>
      <w:r w:rsidR="00CA12A6" w:rsidRPr="002739A0">
        <w:t>ny bilans jednostek budżetowych i</w:t>
      </w:r>
      <w:r w:rsidR="007C5F5B" w:rsidRPr="002739A0">
        <w:t xml:space="preserve"> samorządowych zakładów budżetowych: </w:t>
      </w:r>
    </w:p>
    <w:p w:rsidR="007C5F5B" w:rsidRPr="002739A0" w:rsidRDefault="00E5110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F8580F" w:rsidRPr="002739A0">
        <w:t>ykaz jednostek budżetowych i</w:t>
      </w:r>
      <w:r w:rsidR="007C5F5B" w:rsidRPr="002739A0">
        <w:t xml:space="preserve"> samorządowych zakładów budżetowych </w:t>
      </w:r>
      <w:r w:rsidR="00631684" w:rsidRPr="002739A0">
        <w:t>m.st.</w:t>
      </w:r>
      <w:r w:rsidR="007C5F5B" w:rsidRPr="002739A0">
        <w:t xml:space="preserve"> Warszawy objętych skonsolidowanym bilansem, sporządzonym na </w:t>
      </w:r>
      <w:r w:rsidR="007F3E96" w:rsidRPr="00470D7C">
        <w:t xml:space="preserve">dzień </w:t>
      </w:r>
      <w:r w:rsidR="002B10D1" w:rsidRPr="00470D7C">
        <w:t>31.12.2022</w:t>
      </w:r>
      <w:r w:rsidR="002F5387" w:rsidRPr="00470D7C">
        <w:t xml:space="preserve"> </w:t>
      </w:r>
      <w:r w:rsidR="007C5F5B" w:rsidRPr="00470D7C">
        <w:t>r. – załącznik</w:t>
      </w:r>
      <w:r w:rsidR="007C5F5B" w:rsidRPr="002739A0">
        <w:t xml:space="preserve"> nr 1,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instytucji kultury, dla których </w:t>
      </w:r>
      <w:r w:rsidR="00631684" w:rsidRPr="002739A0">
        <w:t>m.st.</w:t>
      </w:r>
      <w:r w:rsidR="007C5F5B" w:rsidRPr="002739A0">
        <w:t xml:space="preserve"> Warszawa jest organizatorem: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instytucji </w:t>
      </w:r>
      <w:r w:rsidR="007C5F5B" w:rsidRPr="00470D7C">
        <w:t xml:space="preserve">kultury </w:t>
      </w:r>
      <w:r w:rsidR="00631684" w:rsidRPr="00470D7C">
        <w:t>m.st.</w:t>
      </w:r>
      <w:r w:rsidR="007C5F5B" w:rsidRPr="00470D7C">
        <w:t xml:space="preserve"> Warszawy objętych skonsolidowanym bilansem,</w:t>
      </w:r>
      <w:r w:rsidR="00D51831" w:rsidRPr="00470D7C">
        <w:t xml:space="preserve"> sporządzonym na dzień 31.12.202</w:t>
      </w:r>
      <w:r w:rsidR="002B10D1" w:rsidRPr="00470D7C">
        <w:t>2</w:t>
      </w:r>
      <w:r w:rsidR="002F5387" w:rsidRPr="00470D7C">
        <w:t xml:space="preserve"> </w:t>
      </w:r>
      <w:r w:rsidR="007C5F5B" w:rsidRPr="00470D7C">
        <w:t>r. – załącznik nr</w:t>
      </w:r>
      <w:r w:rsidR="007C5F5B" w:rsidRPr="002739A0">
        <w:t xml:space="preserve"> 2,</w:t>
      </w:r>
    </w:p>
    <w:p w:rsidR="007C5F5B" w:rsidRPr="002739A0" w:rsidRDefault="004D2DE0" w:rsidP="00FC02F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</w:t>
      </w:r>
      <w:r w:rsidR="00CF23BB" w:rsidRPr="002739A0">
        <w:t>s</w:t>
      </w:r>
      <w:r w:rsidR="007C5F5B" w:rsidRPr="002739A0">
        <w:t xml:space="preserve">amodzielnych </w:t>
      </w:r>
      <w:r w:rsidR="00CF23BB" w:rsidRPr="002739A0">
        <w:t>p</w:t>
      </w:r>
      <w:r w:rsidR="007C5F5B" w:rsidRPr="002739A0">
        <w:t xml:space="preserve">ublicznych </w:t>
      </w:r>
      <w:r w:rsidR="00CF23BB" w:rsidRPr="002739A0">
        <w:t>z</w:t>
      </w:r>
      <w:r w:rsidR="007C5F5B" w:rsidRPr="002739A0">
        <w:t xml:space="preserve">akładów </w:t>
      </w:r>
      <w:r w:rsidR="00CF23BB" w:rsidRPr="002739A0">
        <w:t>o</w:t>
      </w:r>
      <w:r w:rsidR="007C5F5B" w:rsidRPr="002739A0">
        <w:t xml:space="preserve">pieki </w:t>
      </w:r>
      <w:r w:rsidR="00CF23BB" w:rsidRPr="002739A0">
        <w:t>z</w:t>
      </w:r>
      <w:r w:rsidR="003729E7">
        <w:t>drowotnej, dla </w:t>
      </w:r>
      <w:r w:rsidR="007C5F5B" w:rsidRPr="002739A0">
        <w:t xml:space="preserve">których </w:t>
      </w:r>
      <w:r w:rsidR="00631684" w:rsidRPr="002739A0">
        <w:t>m.st.</w:t>
      </w:r>
      <w:r w:rsidR="007C5F5B" w:rsidRPr="002739A0">
        <w:t xml:space="preserve"> Warszawa jest podmiotem tworzącym:</w:t>
      </w:r>
    </w:p>
    <w:p w:rsidR="007C5F5B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 xml:space="preserve">ykaz samodzielnych publicznych zakładów opieki zdrowotnej </w:t>
      </w:r>
      <w:r w:rsidR="00631684" w:rsidRPr="002739A0">
        <w:t>m.st.</w:t>
      </w:r>
      <w:r w:rsidR="001711A1" w:rsidRPr="002739A0">
        <w:t> </w:t>
      </w:r>
      <w:r w:rsidR="007C5F5B" w:rsidRPr="002739A0">
        <w:t>Warszawy objętych skonsolidowanym bilansem,</w:t>
      </w:r>
      <w:r w:rsidR="00D51831" w:rsidRPr="002739A0">
        <w:t xml:space="preserve"> </w:t>
      </w:r>
      <w:r w:rsidR="002B10D1">
        <w:t xml:space="preserve">sporządzonym na </w:t>
      </w:r>
      <w:r w:rsidR="002B10D1" w:rsidRPr="00470D7C">
        <w:t>dzień 31.12.2022</w:t>
      </w:r>
      <w:r w:rsidR="002F5387" w:rsidRPr="00470D7C">
        <w:t xml:space="preserve"> </w:t>
      </w:r>
      <w:r w:rsidR="007C5F5B" w:rsidRPr="00470D7C">
        <w:t>r. –</w:t>
      </w:r>
      <w:r w:rsidR="007C5F5B" w:rsidRPr="002739A0">
        <w:t xml:space="preserve"> załącznik nr 3,</w:t>
      </w:r>
    </w:p>
    <w:p w:rsidR="007C5F5B" w:rsidRPr="002739A0" w:rsidRDefault="004D2DE0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r w:rsidRPr="002739A0">
        <w:t>B</w:t>
      </w:r>
      <w:r w:rsidR="007C5F5B" w:rsidRPr="002739A0">
        <w:t xml:space="preserve">ilanse jednostkowe spółek prawa handlowego, w których </w:t>
      </w:r>
      <w:r w:rsidR="001465C1" w:rsidRPr="002739A0">
        <w:t>Miast</w:t>
      </w:r>
      <w:r w:rsidR="00CA12A6" w:rsidRPr="002739A0">
        <w:t>o</w:t>
      </w:r>
      <w:r w:rsidR="001465C1" w:rsidRPr="002739A0">
        <w:t xml:space="preserve"> Stołeczne</w:t>
      </w:r>
      <w:r w:rsidR="007C5F5B" w:rsidRPr="002739A0">
        <w:t xml:space="preserve"> Warszawa posiada 100% udziałów</w:t>
      </w:r>
      <w:r w:rsidR="00CF23BB" w:rsidRPr="002739A0">
        <w:t xml:space="preserve"> lub akcji</w:t>
      </w:r>
      <w:r w:rsidR="007C5F5B" w:rsidRPr="002739A0">
        <w:t>:</w:t>
      </w:r>
    </w:p>
    <w:p w:rsidR="001711A1" w:rsidRPr="002739A0" w:rsidRDefault="004D2DE0" w:rsidP="00FC02F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>W</w:t>
      </w:r>
      <w:r w:rsidR="007C5F5B" w:rsidRPr="002739A0">
        <w:t>ykaz spółek</w:t>
      </w:r>
      <w:r w:rsidR="003300B8" w:rsidRPr="002739A0">
        <w:t xml:space="preserve"> </w:t>
      </w:r>
      <w:r w:rsidR="00B12512" w:rsidRPr="002739A0">
        <w:t>prawa handlowego</w:t>
      </w:r>
      <w:r w:rsidR="008C0D57" w:rsidRPr="002739A0">
        <w:t>,</w:t>
      </w:r>
      <w:r w:rsidR="007C648F" w:rsidRPr="002739A0">
        <w:t xml:space="preserve"> w których </w:t>
      </w:r>
      <w:r w:rsidR="00631684" w:rsidRPr="002739A0">
        <w:t>m.st.</w:t>
      </w:r>
      <w:r w:rsidR="007C5F5B" w:rsidRPr="002739A0">
        <w:t xml:space="preserve"> Warszaw</w:t>
      </w:r>
      <w:r w:rsidR="00873E8A" w:rsidRPr="002739A0">
        <w:t>a</w:t>
      </w:r>
      <w:r w:rsidR="007C5F5B" w:rsidRPr="002739A0">
        <w:t xml:space="preserve"> </w:t>
      </w:r>
      <w:r w:rsidR="007C648F" w:rsidRPr="002739A0">
        <w:t xml:space="preserve">posiada 100% udziałów/akcji, </w:t>
      </w:r>
      <w:r w:rsidR="00B12512" w:rsidRPr="002739A0">
        <w:t xml:space="preserve">objętych </w:t>
      </w:r>
      <w:r w:rsidR="007C5F5B" w:rsidRPr="002739A0">
        <w:t xml:space="preserve">skonsolidowanym </w:t>
      </w:r>
      <w:r w:rsidR="005526E5" w:rsidRPr="002739A0">
        <w:t>bilan</w:t>
      </w:r>
      <w:r w:rsidR="00B12512" w:rsidRPr="002739A0">
        <w:t>sem</w:t>
      </w:r>
      <w:r w:rsidR="00D51831" w:rsidRPr="002739A0">
        <w:t xml:space="preserve"> </w:t>
      </w:r>
      <w:r w:rsidR="002B10D1">
        <w:t xml:space="preserve">sporządzonym na </w:t>
      </w:r>
      <w:r w:rsidR="002B10D1" w:rsidRPr="00470D7C">
        <w:t>dzień 31.12.2022</w:t>
      </w:r>
      <w:r w:rsidR="00B12512" w:rsidRPr="00470D7C">
        <w:t xml:space="preserve"> </w:t>
      </w:r>
      <w:r w:rsidR="007C5F5B" w:rsidRPr="00470D7C">
        <w:t>r.</w:t>
      </w:r>
      <w:r w:rsidR="00124CDF" w:rsidRPr="00470D7C">
        <w:t xml:space="preserve"> </w:t>
      </w:r>
      <w:r w:rsidR="001711A1" w:rsidRPr="00470D7C">
        <w:t xml:space="preserve">– </w:t>
      </w:r>
      <w:r w:rsidR="007C5F5B" w:rsidRPr="00470D7C">
        <w:t>załącznik</w:t>
      </w:r>
      <w:r w:rsidR="007C5F5B" w:rsidRPr="002739A0">
        <w:t xml:space="preserve"> nr </w:t>
      </w:r>
      <w:r w:rsidR="003300B8" w:rsidRPr="002739A0">
        <w:t>4</w:t>
      </w:r>
      <w:r w:rsidR="007C5F5B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Konsolidacją metodą pełną objęto łącznie dane bilansowe </w:t>
      </w:r>
      <w:r w:rsidR="00100123">
        <w:t>1104</w:t>
      </w:r>
      <w:r w:rsidR="00E51100" w:rsidRPr="00F21D19">
        <w:t xml:space="preserve"> </w:t>
      </w:r>
      <w:r w:rsidRPr="00F21D19">
        <w:t>jednostek</w:t>
      </w:r>
      <w:r w:rsidR="002B646A" w:rsidRPr="002739A0">
        <w:t>.</w:t>
      </w:r>
    </w:p>
    <w:p w:rsidR="007C5F5B" w:rsidRPr="002739A0" w:rsidRDefault="007C5F5B" w:rsidP="00FC02F3">
      <w:pPr>
        <w:numPr>
          <w:ilvl w:val="1"/>
          <w:numId w:val="11"/>
        </w:numPr>
        <w:ind w:left="993" w:hanging="567"/>
        <w:contextualSpacing/>
      </w:pPr>
      <w:r w:rsidRPr="002739A0">
        <w:t xml:space="preserve">Przy konsolidacji metodą pełną dokonano następujących korekt i </w:t>
      </w:r>
      <w:proofErr w:type="spellStart"/>
      <w:r w:rsidRPr="002739A0">
        <w:t>wyłączeń</w:t>
      </w:r>
      <w:proofErr w:type="spellEnd"/>
      <w:r w:rsidR="00F8580F" w:rsidRPr="002739A0">
        <w:t xml:space="preserve"> w celu wyeliminowania skutków finansowych wzajemnych zdarz</w:t>
      </w:r>
      <w:r w:rsidR="003729E7">
        <w:t>eń gospodarczych, szczególnie w </w:t>
      </w:r>
      <w:r w:rsidR="00F8580F" w:rsidRPr="002739A0">
        <w:t>zakresie</w:t>
      </w:r>
      <w:r w:rsidRPr="002739A0">
        <w:t>:</w:t>
      </w:r>
    </w:p>
    <w:p w:rsidR="007C5F5B" w:rsidRPr="00470D7C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="007C5F5B" w:rsidRPr="002739A0">
        <w:t xml:space="preserve"> </w:t>
      </w:r>
      <w:r w:rsidR="009E746A" w:rsidRPr="002739A0">
        <w:t xml:space="preserve">wzajemnych należności, </w:t>
      </w:r>
      <w:r w:rsidR="007C5F5B" w:rsidRPr="002739A0">
        <w:t xml:space="preserve">zobowiązań </w:t>
      </w:r>
      <w:r w:rsidR="009E746A" w:rsidRPr="002739A0">
        <w:t xml:space="preserve">oraz rozliczeń międzyokresowych przychodów </w:t>
      </w:r>
      <w:r w:rsidR="007C5F5B" w:rsidRPr="002739A0">
        <w:t>pomiędzy jednostkami</w:t>
      </w:r>
      <w:r w:rsidR="000E161A" w:rsidRPr="002739A0">
        <w:t xml:space="preserve"> organizacyjnymi </w:t>
      </w:r>
      <w:r w:rsidR="00631684" w:rsidRPr="002739A0">
        <w:t>m.st.</w:t>
      </w:r>
      <w:r w:rsidR="001711A1" w:rsidRPr="002739A0">
        <w:t> </w:t>
      </w:r>
      <w:r w:rsidR="000E161A" w:rsidRPr="002739A0">
        <w:t>Warszawy</w:t>
      </w:r>
      <w:r w:rsidR="007C5F5B" w:rsidRPr="002739A0">
        <w:t xml:space="preserve"> </w:t>
      </w:r>
      <w:r w:rsidR="007F3E96" w:rsidRPr="002739A0">
        <w:t xml:space="preserve">objętymi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="002B10D1" w:rsidRPr="00470D7C">
        <w:t>na 31.12.2022</w:t>
      </w:r>
      <w:r w:rsidR="002F5387" w:rsidRPr="00470D7C">
        <w:t xml:space="preserve"> </w:t>
      </w:r>
      <w:r w:rsidR="00F8580F" w:rsidRPr="00470D7C">
        <w:t>r.</w:t>
      </w:r>
      <w:r w:rsidR="007C5F5B" w:rsidRPr="00470D7C">
        <w:t>,</w:t>
      </w:r>
    </w:p>
    <w:p w:rsidR="007C5F5B" w:rsidRPr="002739A0" w:rsidRDefault="009E746A" w:rsidP="009C1573">
      <w:pPr>
        <w:numPr>
          <w:ilvl w:val="3"/>
          <w:numId w:val="11"/>
        </w:numPr>
        <w:tabs>
          <w:tab w:val="left" w:pos="1843"/>
        </w:tabs>
        <w:ind w:left="2694" w:hanging="993"/>
        <w:contextualSpacing/>
      </w:pPr>
      <w:r w:rsidRPr="002739A0">
        <w:t xml:space="preserve">Wyłączenia należności, </w:t>
      </w:r>
      <w:r w:rsidR="007C5F5B" w:rsidRPr="002739A0">
        <w:t xml:space="preserve">zobowiązań </w:t>
      </w:r>
      <w:r w:rsidRPr="002739A0">
        <w:t xml:space="preserve">oraz rozliczeń międzyokresowych przychodów </w:t>
      </w:r>
      <w:r w:rsidR="007C5F5B" w:rsidRPr="002739A0">
        <w:t xml:space="preserve">dotyczą </w:t>
      </w:r>
      <w:r w:rsidR="00AF0B68" w:rsidRPr="002739A0">
        <w:t xml:space="preserve">przede wszystkim </w:t>
      </w:r>
      <w:r w:rsidR="007C5F5B" w:rsidRPr="002739A0">
        <w:t>następujących tytułów: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dostaw i usług </w:t>
      </w:r>
      <w:r w:rsidR="00E12C58" w:rsidRPr="002739A0">
        <w:rPr>
          <w:rFonts w:cs="Calibri"/>
        </w:rPr>
        <w:t xml:space="preserve">z </w:t>
      </w:r>
      <w:r w:rsidRPr="002739A0">
        <w:rPr>
          <w:rFonts w:cs="Calibri"/>
        </w:rPr>
        <w:t xml:space="preserve">jednostkami organizacyjnymi </w:t>
      </w:r>
      <w:r w:rsidR="00631684" w:rsidRPr="002739A0">
        <w:rPr>
          <w:rFonts w:cs="Calibri"/>
        </w:rPr>
        <w:t>m.st.</w:t>
      </w:r>
      <w:r w:rsidRPr="002739A0">
        <w:rPr>
          <w:rFonts w:cs="Calibri"/>
        </w:rPr>
        <w:t xml:space="preserve"> Warszawy,</w:t>
      </w:r>
    </w:p>
    <w:p w:rsidR="007C5F5B" w:rsidRPr="002739A0" w:rsidRDefault="007C5F5B" w:rsidP="0080564B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</w:t>
      </w:r>
      <w:r w:rsidR="00E51100" w:rsidRPr="002739A0">
        <w:rPr>
          <w:rFonts w:cs="Calibri"/>
        </w:rPr>
        <w:t xml:space="preserve">z tytułu środków na </w:t>
      </w:r>
      <w:r w:rsidRPr="002739A0">
        <w:rPr>
          <w:rFonts w:cs="Calibri"/>
        </w:rPr>
        <w:t>wydatk</w:t>
      </w:r>
      <w:r w:rsidR="00E51100" w:rsidRPr="002739A0">
        <w:rPr>
          <w:rFonts w:cs="Calibri"/>
        </w:rPr>
        <w:t>i</w:t>
      </w:r>
      <w:r w:rsidRPr="002739A0">
        <w:rPr>
          <w:rFonts w:cs="Calibri"/>
        </w:rPr>
        <w:t xml:space="preserve"> budżetow</w:t>
      </w:r>
      <w:r w:rsidR="00E51100" w:rsidRPr="002739A0">
        <w:rPr>
          <w:rFonts w:cs="Calibri"/>
        </w:rPr>
        <w:t>e</w:t>
      </w:r>
      <w:r w:rsidRPr="002739A0">
        <w:rPr>
          <w:rFonts w:cs="Calibri"/>
        </w:rPr>
        <w:t xml:space="preserve"> </w:t>
      </w:r>
      <w:r w:rsidR="004D0BE0" w:rsidRPr="002739A0">
        <w:rPr>
          <w:rFonts w:cs="Calibri"/>
        </w:rPr>
        <w:t xml:space="preserve">i z tytułu dochodów budżetowych </w:t>
      </w:r>
      <w:r w:rsidR="00124CDF" w:rsidRPr="002739A0">
        <w:rPr>
          <w:rFonts w:cs="Calibri"/>
        </w:rPr>
        <w:t xml:space="preserve">pomiędzy budżetem Miasta st. Warszawy, </w:t>
      </w:r>
      <w:r w:rsidRPr="002739A0">
        <w:rPr>
          <w:rFonts w:cs="Calibri"/>
        </w:rPr>
        <w:t>a jednostk</w:t>
      </w:r>
      <w:r w:rsidR="001837D7" w:rsidRPr="002739A0">
        <w:rPr>
          <w:rFonts w:cs="Calibri"/>
        </w:rPr>
        <w:t>ami budżeto</w:t>
      </w:r>
      <w:r w:rsidR="00997CAA" w:rsidRPr="002739A0">
        <w:rPr>
          <w:rFonts w:cs="Calibri"/>
        </w:rPr>
        <w:t xml:space="preserve">wymi </w:t>
      </w:r>
      <w:r w:rsidR="00631684" w:rsidRPr="002739A0">
        <w:rPr>
          <w:rFonts w:cs="Calibri"/>
        </w:rPr>
        <w:t>m.st.</w:t>
      </w:r>
      <w:r w:rsidR="00DD1BD6" w:rsidRPr="002739A0">
        <w:rPr>
          <w:rFonts w:cs="Calibri"/>
        </w:rPr>
        <w:t xml:space="preserve"> Warszawy</w:t>
      </w:r>
      <w:r w:rsidR="009E746A" w:rsidRPr="002739A0">
        <w:rPr>
          <w:rFonts w:cs="Calibri"/>
        </w:rPr>
        <w:t>,</w:t>
      </w:r>
    </w:p>
    <w:p w:rsidR="009E746A" w:rsidRDefault="009E746A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 w:rsidRPr="002739A0">
        <w:rPr>
          <w:rFonts w:cs="Calibri"/>
        </w:rPr>
        <w:t xml:space="preserve">rozliczeń z tytułu </w:t>
      </w:r>
      <w:r w:rsidR="008C0D57" w:rsidRPr="002739A0">
        <w:rPr>
          <w:rFonts w:cs="Calibri"/>
        </w:rPr>
        <w:t xml:space="preserve">wydanych </w:t>
      </w:r>
      <w:r w:rsidRPr="002739A0">
        <w:rPr>
          <w:rFonts w:cs="Calibri"/>
        </w:rPr>
        <w:t>decyzji za zajęcie pasa</w:t>
      </w:r>
      <w:r w:rsidR="005B14AE">
        <w:rPr>
          <w:rFonts w:cs="Calibri"/>
        </w:rPr>
        <w:t xml:space="preserve"> drogi,</w:t>
      </w:r>
    </w:p>
    <w:p w:rsidR="005B14AE" w:rsidRDefault="005B14AE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>
        <w:rPr>
          <w:rFonts w:cs="Calibri"/>
        </w:rPr>
        <w:lastRenderedPageBreak/>
        <w:t>pozostałych należności i zobowiązań,</w:t>
      </w:r>
    </w:p>
    <w:p w:rsidR="005B14AE" w:rsidRPr="002739A0" w:rsidRDefault="005B14AE" w:rsidP="009C1573">
      <w:pPr>
        <w:numPr>
          <w:ilvl w:val="2"/>
          <w:numId w:val="20"/>
        </w:numPr>
        <w:tabs>
          <w:tab w:val="clear" w:pos="2160"/>
          <w:tab w:val="num" w:pos="3119"/>
        </w:tabs>
        <w:ind w:left="3119" w:hanging="425"/>
        <w:contextualSpacing/>
        <w:rPr>
          <w:rFonts w:cs="Calibri"/>
        </w:rPr>
      </w:pPr>
      <w:r>
        <w:rPr>
          <w:rFonts w:cs="Calibri"/>
        </w:rPr>
        <w:t>otrzymanych i wpłaconych zaliczek na poczet dostaw i usług.</w:t>
      </w:r>
    </w:p>
    <w:p w:rsidR="00E32EDC" w:rsidRPr="00470D7C" w:rsidRDefault="007C5F5B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</w:t>
      </w:r>
      <w:r w:rsidR="00282554" w:rsidRPr="002739A0">
        <w:t>eń</w:t>
      </w:r>
      <w:proofErr w:type="spellEnd"/>
      <w:r w:rsidRPr="002739A0">
        <w:t xml:space="preserve"> akcji i udziałów spół</w:t>
      </w:r>
      <w:r w:rsidR="00E51100" w:rsidRPr="002739A0">
        <w:t>ek</w:t>
      </w:r>
      <w:r w:rsidRPr="002739A0">
        <w:t xml:space="preserve"> </w:t>
      </w:r>
      <w:r w:rsidR="007F3E96" w:rsidRPr="002739A0">
        <w:t xml:space="preserve">objętych konsolidacją </w:t>
      </w:r>
      <w:r w:rsidR="004D0BE0" w:rsidRPr="002739A0">
        <w:t xml:space="preserve">metodą </w:t>
      </w:r>
      <w:r w:rsidR="007F3E96" w:rsidRPr="002739A0">
        <w:t xml:space="preserve">pełną </w:t>
      </w:r>
      <w:r w:rsidRPr="002739A0">
        <w:t>oraz korekt odpisów aktua</w:t>
      </w:r>
      <w:r w:rsidR="00F8580F" w:rsidRPr="002739A0">
        <w:t>lizujących akcje i udziały</w:t>
      </w:r>
      <w:r w:rsidRPr="002739A0">
        <w:t xml:space="preserve"> </w:t>
      </w:r>
      <w:r w:rsidR="00631684" w:rsidRPr="002739A0">
        <w:t>m.st.</w:t>
      </w:r>
      <w:r w:rsidRPr="002739A0">
        <w:t xml:space="preserve"> Warszawy</w:t>
      </w:r>
      <w:r w:rsidR="002B10D1">
        <w:t xml:space="preserve"> </w:t>
      </w:r>
      <w:r w:rsidR="002B10D1" w:rsidRPr="00470D7C">
        <w:t>na 31.12.2022</w:t>
      </w:r>
      <w:r w:rsidR="00851507" w:rsidRPr="00470D7C">
        <w:t xml:space="preserve"> </w:t>
      </w:r>
      <w:r w:rsidR="0051372C" w:rsidRPr="00470D7C">
        <w:t>r.</w:t>
      </w:r>
      <w:r w:rsidR="00EF345D" w:rsidRPr="00470D7C">
        <w:t>,</w:t>
      </w:r>
      <w:r w:rsidRPr="00470D7C">
        <w:t xml:space="preserve"> </w:t>
      </w:r>
    </w:p>
    <w:p w:rsidR="007C5F5B" w:rsidRPr="002739A0" w:rsidRDefault="00282554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="007C5F5B" w:rsidRPr="002739A0">
        <w:t xml:space="preserve"> </w:t>
      </w:r>
      <w:r w:rsidR="00F8580F" w:rsidRPr="002739A0">
        <w:t xml:space="preserve">wartości gruntów </w:t>
      </w:r>
      <w:r w:rsidR="00D1135C" w:rsidRPr="002739A0">
        <w:t>pomię</w:t>
      </w:r>
      <w:r w:rsidR="00260B73" w:rsidRPr="002739A0">
        <w:t xml:space="preserve">dzy </w:t>
      </w:r>
      <w:r w:rsidR="00631684" w:rsidRPr="002739A0">
        <w:t>m.st.</w:t>
      </w:r>
      <w:r w:rsidR="00E12C58" w:rsidRPr="002739A0">
        <w:t xml:space="preserve"> Warszaw</w:t>
      </w:r>
      <w:r w:rsidR="007F3E96" w:rsidRPr="002739A0">
        <w:t>a</w:t>
      </w:r>
      <w:r w:rsidR="00124CDF" w:rsidRPr="002739A0">
        <w:t>,</w:t>
      </w:r>
      <w:r w:rsidR="00260B73" w:rsidRPr="002739A0">
        <w:t xml:space="preserve"> </w:t>
      </w:r>
      <w:r w:rsidR="00D1135C" w:rsidRPr="002739A0">
        <w:t>a</w:t>
      </w:r>
      <w:r w:rsidR="00260B73" w:rsidRPr="002739A0">
        <w:t xml:space="preserve"> </w:t>
      </w:r>
      <w:r w:rsidR="00D1135C" w:rsidRPr="002739A0">
        <w:t>samodzielnymi publicznymi zakładami</w:t>
      </w:r>
      <w:r w:rsidR="007C5F5B" w:rsidRPr="002739A0">
        <w:t xml:space="preserve"> opie</w:t>
      </w:r>
      <w:r w:rsidR="00D1135C" w:rsidRPr="002739A0">
        <w:t xml:space="preserve">ki zdrowotnej oraz samorządowymi </w:t>
      </w:r>
      <w:r w:rsidR="007C5F5B" w:rsidRPr="002739A0">
        <w:t>in</w:t>
      </w:r>
      <w:r w:rsidR="00D1135C" w:rsidRPr="002739A0">
        <w:t xml:space="preserve">stytucjami </w:t>
      </w:r>
      <w:r w:rsidR="00EB43F0" w:rsidRPr="002739A0">
        <w:t xml:space="preserve">kultury </w:t>
      </w:r>
      <w:r w:rsidR="007F3E96" w:rsidRPr="002739A0">
        <w:t xml:space="preserve">objętymi konsolidacją </w:t>
      </w:r>
      <w:r w:rsidR="00CA12A6" w:rsidRPr="002739A0">
        <w:t xml:space="preserve">metodą </w:t>
      </w:r>
      <w:r w:rsidR="007F3E96" w:rsidRPr="002739A0">
        <w:t xml:space="preserve">pełną </w:t>
      </w:r>
      <w:r w:rsidR="002B10D1">
        <w:t xml:space="preserve">na </w:t>
      </w:r>
      <w:r w:rsidR="002B10D1" w:rsidRPr="00782A22">
        <w:t>dzień 31.12.2022</w:t>
      </w:r>
      <w:r w:rsidR="0051372C" w:rsidRPr="00782A22">
        <w:t xml:space="preserve"> r.</w:t>
      </w:r>
      <w:r w:rsidR="000F766D" w:rsidRPr="00782A22">
        <w:t xml:space="preserve"> </w:t>
      </w:r>
      <w:r w:rsidR="00DC1843" w:rsidRPr="00782A22">
        <w:t>oraz</w:t>
      </w:r>
      <w:r w:rsidR="00DC1843" w:rsidRPr="002739A0">
        <w:t xml:space="preserve"> </w:t>
      </w:r>
      <w:proofErr w:type="spellStart"/>
      <w:r w:rsidR="00DC1843" w:rsidRPr="002739A0">
        <w:t>wyłączeń</w:t>
      </w:r>
      <w:proofErr w:type="spellEnd"/>
      <w:r w:rsidR="00DC1843" w:rsidRPr="002739A0">
        <w:t xml:space="preserve"> wartości prawa wieczystego użytkowania gruntu pomiędzy m.st.</w:t>
      </w:r>
      <w:r w:rsidR="001711A1" w:rsidRPr="002739A0">
        <w:t> </w:t>
      </w:r>
      <w:r w:rsidR="00041138">
        <w:t>Warszawa, a </w:t>
      </w:r>
      <w:r w:rsidR="00DC1843" w:rsidRPr="002739A0">
        <w:t>spółkami prawa handlowego objętymi konsolidacj</w:t>
      </w:r>
      <w:r w:rsidR="0077206F" w:rsidRPr="002739A0">
        <w:t>ą</w:t>
      </w:r>
      <w:r w:rsidR="00DC1843" w:rsidRPr="002739A0">
        <w:t xml:space="preserve"> </w:t>
      </w:r>
      <w:r w:rsidR="00EC3C78" w:rsidRPr="002739A0">
        <w:t xml:space="preserve">metodą </w:t>
      </w:r>
      <w:r w:rsidR="00DC1843" w:rsidRPr="002739A0">
        <w:t>pełną</w:t>
      </w:r>
      <w:r w:rsidR="00100ECF" w:rsidRPr="002739A0">
        <w:t>.</w:t>
      </w:r>
    </w:p>
    <w:p w:rsidR="00D11CAD" w:rsidRPr="00782A22" w:rsidRDefault="00D11CAD" w:rsidP="009C1573">
      <w:pPr>
        <w:numPr>
          <w:ilvl w:val="2"/>
          <w:numId w:val="11"/>
        </w:numPr>
        <w:tabs>
          <w:tab w:val="left" w:pos="1701"/>
        </w:tabs>
        <w:ind w:left="1701" w:hanging="708"/>
        <w:contextualSpacing/>
      </w:pPr>
      <w:proofErr w:type="spellStart"/>
      <w:r w:rsidRPr="002739A0">
        <w:t>Wyłączeń</w:t>
      </w:r>
      <w:proofErr w:type="spellEnd"/>
      <w:r w:rsidRPr="002739A0">
        <w:t xml:space="preserve"> </w:t>
      </w:r>
      <w:r w:rsidR="0073394A" w:rsidRPr="002739A0">
        <w:t xml:space="preserve">niezrealizowanych </w:t>
      </w:r>
      <w:r w:rsidRPr="002739A0">
        <w:t>zysków powstałych w wyniku sprzedaży środków trwałych pomiędzy jednostkami objętymi konsoli</w:t>
      </w:r>
      <w:r w:rsidR="00041138">
        <w:t>dacją metodą pełną na </w:t>
      </w:r>
      <w:r w:rsidR="002B10D1" w:rsidRPr="00782A22">
        <w:t>31.12.2022</w:t>
      </w:r>
      <w:r w:rsidR="00F02535" w:rsidRPr="00782A22">
        <w:t xml:space="preserve"> r.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Konsolidacja metodą praw własności</w:t>
      </w:r>
    </w:p>
    <w:p w:rsidR="00954BC7" w:rsidRPr="002739A0" w:rsidRDefault="00EF7BB8" w:rsidP="0073539B">
      <w:pPr>
        <w:contextualSpacing/>
        <w:rPr>
          <w:rFonts w:cs="Calibri"/>
        </w:rPr>
      </w:pPr>
      <w:r w:rsidRPr="002739A0">
        <w:rPr>
          <w:rFonts w:cs="Calibri"/>
        </w:rPr>
        <w:t>Konsolidacją m</w:t>
      </w:r>
      <w:r w:rsidR="007C5F5B" w:rsidRPr="002739A0">
        <w:rPr>
          <w:rFonts w:cs="Calibri"/>
        </w:rPr>
        <w:t>etodą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praw własności objęto</w:t>
      </w:r>
      <w:r w:rsidR="009161A8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 xml:space="preserve">udziały </w:t>
      </w:r>
      <w:r w:rsidR="009161A8" w:rsidRPr="002739A0">
        <w:rPr>
          <w:rFonts w:cs="Calibri"/>
        </w:rPr>
        <w:t xml:space="preserve">spółki Mazowiecki Fundusz </w:t>
      </w:r>
      <w:r w:rsidR="00954BC7" w:rsidRPr="002739A0">
        <w:rPr>
          <w:rFonts w:cs="Calibri"/>
        </w:rPr>
        <w:t>Po</w:t>
      </w:r>
      <w:r w:rsidR="009161A8" w:rsidRPr="002739A0">
        <w:rPr>
          <w:rFonts w:cs="Calibri"/>
        </w:rPr>
        <w:t>ręczeń Kredytow</w:t>
      </w:r>
      <w:r w:rsidR="003B7547" w:rsidRPr="002739A0">
        <w:rPr>
          <w:rFonts w:cs="Calibri"/>
        </w:rPr>
        <w:t>ych Sp. z o.o., w której m.st. W</w:t>
      </w:r>
      <w:r w:rsidR="009161A8" w:rsidRPr="002739A0">
        <w:rPr>
          <w:rFonts w:cs="Calibri"/>
        </w:rPr>
        <w:t xml:space="preserve">arszawa posiada </w:t>
      </w:r>
      <w:r w:rsidR="00954BC7" w:rsidRPr="002739A0">
        <w:rPr>
          <w:rFonts w:cs="Calibri"/>
        </w:rPr>
        <w:t>4</w:t>
      </w:r>
      <w:r w:rsidR="00260B73" w:rsidRPr="002739A0">
        <w:rPr>
          <w:rFonts w:cs="Calibri"/>
        </w:rPr>
        <w:t>0,</w:t>
      </w:r>
      <w:r w:rsidR="00A6362C" w:rsidRPr="002739A0">
        <w:rPr>
          <w:rFonts w:cs="Calibri"/>
        </w:rPr>
        <w:t>22</w:t>
      </w:r>
      <w:r w:rsidR="009161A8" w:rsidRPr="002739A0">
        <w:rPr>
          <w:rFonts w:cs="Calibri"/>
        </w:rPr>
        <w:t xml:space="preserve"> % udziałów.</w:t>
      </w:r>
    </w:p>
    <w:p w:rsidR="007C5F5B" w:rsidRPr="002739A0" w:rsidRDefault="009161A8" w:rsidP="0073539B">
      <w:pPr>
        <w:rPr>
          <w:rFonts w:cs="Calibri"/>
        </w:rPr>
      </w:pPr>
      <w:r w:rsidRPr="002739A0">
        <w:rPr>
          <w:rFonts w:cs="Calibri"/>
        </w:rPr>
        <w:t>Wartość akcji i udziałów spółki</w:t>
      </w:r>
      <w:r w:rsidR="007C5F5B" w:rsidRPr="002739A0">
        <w:rPr>
          <w:rFonts w:cs="Calibri"/>
        </w:rPr>
        <w:t xml:space="preserve"> wycenionych metodą praw własnośc</w:t>
      </w:r>
      <w:r w:rsidR="001711A1" w:rsidRPr="002739A0">
        <w:rPr>
          <w:rFonts w:cs="Calibri"/>
        </w:rPr>
        <w:t>i ujęto w </w:t>
      </w:r>
      <w:r w:rsidR="00D437C5" w:rsidRPr="002739A0">
        <w:rPr>
          <w:rFonts w:cs="Calibri"/>
        </w:rPr>
        <w:t>aktywach bilansu w</w:t>
      </w:r>
      <w:r w:rsidR="00041138">
        <w:rPr>
          <w:rFonts w:cs="Calibri"/>
        </w:rPr>
        <w:t> </w:t>
      </w:r>
      <w:r w:rsidR="00D437C5" w:rsidRPr="002739A0">
        <w:rPr>
          <w:rFonts w:cs="Calibri"/>
        </w:rPr>
        <w:t xml:space="preserve">pozycji </w:t>
      </w:r>
      <w:r w:rsidR="007C5F5B" w:rsidRPr="002739A0">
        <w:rPr>
          <w:rFonts w:cs="Calibri"/>
        </w:rPr>
        <w:t>„Akcje i udziały</w:t>
      </w:r>
      <w:r w:rsidRPr="002739A0">
        <w:rPr>
          <w:rFonts w:cs="Calibri"/>
        </w:rPr>
        <w:t xml:space="preserve">”. </w:t>
      </w:r>
      <w:r w:rsidR="007C5F5B" w:rsidRPr="002739A0">
        <w:rPr>
          <w:rFonts w:cs="Calibri"/>
        </w:rPr>
        <w:t xml:space="preserve">Akcje i udziały </w:t>
      </w:r>
      <w:r w:rsidR="00DB29A5" w:rsidRPr="002739A0">
        <w:rPr>
          <w:rFonts w:cs="Calibri"/>
        </w:rPr>
        <w:t>m.</w:t>
      </w:r>
      <w:r w:rsidR="00485099" w:rsidRPr="002739A0">
        <w:rPr>
          <w:rFonts w:cs="Calibri"/>
        </w:rPr>
        <w:t>st.</w:t>
      </w:r>
      <w:r w:rsidR="007C5F5B" w:rsidRPr="002739A0">
        <w:rPr>
          <w:rFonts w:cs="Calibri"/>
        </w:rPr>
        <w:t xml:space="preserve"> Warszawy w cenie ich na</w:t>
      </w:r>
      <w:r w:rsidR="001711A1" w:rsidRPr="002739A0">
        <w:rPr>
          <w:rFonts w:cs="Calibri"/>
        </w:rPr>
        <w:t>bycia skorygowano o </w:t>
      </w:r>
      <w:r w:rsidR="00393BE4" w:rsidRPr="002739A0">
        <w:rPr>
          <w:rFonts w:cs="Calibri"/>
        </w:rPr>
        <w:t>przypadający</w:t>
      </w:r>
      <w:r w:rsidR="002D0E3F" w:rsidRPr="002739A0">
        <w:rPr>
          <w:rFonts w:cs="Calibri"/>
        </w:rPr>
        <w:t xml:space="preserve"> </w:t>
      </w:r>
      <w:r w:rsidR="00543AF9" w:rsidRPr="002739A0">
        <w:rPr>
          <w:rFonts w:cs="Calibri"/>
        </w:rPr>
        <w:t xml:space="preserve">wynik </w:t>
      </w:r>
      <w:r w:rsidRPr="002739A0">
        <w:rPr>
          <w:rFonts w:cs="Calibri"/>
        </w:rPr>
        <w:t>finansowy w spółce</w:t>
      </w:r>
      <w:r w:rsidR="00393BE4" w:rsidRPr="002739A0">
        <w:rPr>
          <w:rFonts w:cs="Calibri"/>
        </w:rPr>
        <w:t xml:space="preserve"> wykazany</w:t>
      </w:r>
      <w:r w:rsidR="002B10D1">
        <w:rPr>
          <w:rFonts w:cs="Calibri"/>
        </w:rPr>
        <w:t xml:space="preserve"> </w:t>
      </w:r>
      <w:r w:rsidR="002B10D1" w:rsidRPr="00782A22">
        <w:rPr>
          <w:rFonts w:cs="Calibri"/>
        </w:rPr>
        <w:t>za 2022</w:t>
      </w:r>
      <w:r w:rsidR="00260B73" w:rsidRPr="00782A22">
        <w:rPr>
          <w:rFonts w:cs="Calibri"/>
        </w:rPr>
        <w:t xml:space="preserve"> </w:t>
      </w:r>
      <w:r w:rsidR="002D0E3F" w:rsidRPr="00782A22">
        <w:rPr>
          <w:rFonts w:cs="Calibri"/>
        </w:rPr>
        <w:t xml:space="preserve">r. i </w:t>
      </w:r>
      <w:r w:rsidR="00393BE4" w:rsidRPr="00782A22">
        <w:rPr>
          <w:rFonts w:cs="Calibri"/>
        </w:rPr>
        <w:t>wyniki</w:t>
      </w:r>
      <w:r w:rsidR="00393BE4" w:rsidRPr="002739A0">
        <w:rPr>
          <w:rFonts w:cs="Calibri"/>
        </w:rPr>
        <w:t xml:space="preserve"> finansowe lat ubiegłych</w:t>
      </w:r>
      <w:r w:rsidR="007C5F5B" w:rsidRPr="002739A0">
        <w:rPr>
          <w:rFonts w:cs="Calibri"/>
        </w:rPr>
        <w:t>.</w:t>
      </w:r>
    </w:p>
    <w:p w:rsidR="007C5F5B" w:rsidRPr="002739A0" w:rsidRDefault="007C5F5B" w:rsidP="005335F8">
      <w:pPr>
        <w:pStyle w:val="Nagwek2"/>
        <w:numPr>
          <w:ilvl w:val="0"/>
          <w:numId w:val="11"/>
        </w:numPr>
      </w:pPr>
      <w:r w:rsidRPr="002739A0">
        <w:t>Informacje uzupełniające</w:t>
      </w:r>
    </w:p>
    <w:p w:rsidR="00605349" w:rsidRPr="002739A0" w:rsidRDefault="00605349" w:rsidP="00DD70EA">
      <w:pPr>
        <w:numPr>
          <w:ilvl w:val="1"/>
          <w:numId w:val="11"/>
        </w:numPr>
        <w:ind w:left="993" w:hanging="567"/>
        <w:contextualSpacing/>
      </w:pPr>
      <w:r w:rsidRPr="002739A0">
        <w:t>Korekta bilansu otwarcia</w:t>
      </w:r>
      <w:r w:rsidR="002B10D1">
        <w:t xml:space="preserve"> </w:t>
      </w:r>
      <w:r w:rsidR="002B10D1" w:rsidRPr="00782A22">
        <w:t>2022</w:t>
      </w:r>
      <w:r w:rsidRPr="00782A22">
        <w:t xml:space="preserve"> roku</w:t>
      </w:r>
      <w:r w:rsidR="005349F0" w:rsidRPr="002739A0">
        <w:t>.</w:t>
      </w:r>
    </w:p>
    <w:p w:rsidR="0044646F" w:rsidRPr="002739A0" w:rsidRDefault="0044646F" w:rsidP="00D4279A">
      <w:pPr>
        <w:ind w:left="992"/>
        <w:contextualSpacing/>
        <w:rPr>
          <w:rFonts w:cs="Calibri"/>
        </w:rPr>
      </w:pPr>
      <w:r w:rsidRPr="002739A0">
        <w:rPr>
          <w:rFonts w:cs="Calibri"/>
        </w:rPr>
        <w:t>W skonsolidowanym bilansie m.st. Warszawy wystąpiły różnice pomiędzy b</w:t>
      </w:r>
      <w:r w:rsidR="002B10D1">
        <w:rPr>
          <w:rFonts w:cs="Calibri"/>
        </w:rPr>
        <w:t xml:space="preserve">ilansem </w:t>
      </w:r>
      <w:r w:rsidR="002B10D1" w:rsidRPr="00782A22">
        <w:rPr>
          <w:rFonts w:cs="Calibri"/>
        </w:rPr>
        <w:t>zamknięcia na 31.12.2021</w:t>
      </w:r>
      <w:r w:rsidRPr="00782A22">
        <w:rPr>
          <w:rFonts w:cs="Calibri"/>
        </w:rPr>
        <w:t xml:space="preserve"> r., a</w:t>
      </w:r>
      <w:r w:rsidR="002B10D1" w:rsidRPr="00782A22">
        <w:rPr>
          <w:rFonts w:cs="Calibri"/>
        </w:rPr>
        <w:t xml:space="preserve"> bilansem otwarcia na 01.01.2022 </w:t>
      </w:r>
      <w:r w:rsidR="00395D80" w:rsidRPr="00782A22">
        <w:rPr>
          <w:rFonts w:cs="Calibri"/>
        </w:rPr>
        <w:t>r</w:t>
      </w:r>
      <w:r w:rsidR="00851507" w:rsidRPr="00782A22">
        <w:rPr>
          <w:rFonts w:cs="Calibri"/>
        </w:rPr>
        <w:t>.</w:t>
      </w:r>
      <w:r w:rsidR="00395D80" w:rsidRPr="00782A22">
        <w:rPr>
          <w:rFonts w:cs="Calibri"/>
        </w:rPr>
        <w:t xml:space="preserve"> wynikające</w:t>
      </w:r>
      <w:r w:rsidR="00395D80" w:rsidRPr="002739A0">
        <w:rPr>
          <w:rFonts w:cs="Calibri"/>
        </w:rPr>
        <w:t xml:space="preserve"> z korekt ujętych w bilansach następujących jednostek</w:t>
      </w:r>
      <w:r w:rsidRPr="002739A0">
        <w:rPr>
          <w:rFonts w:cs="Calibri"/>
        </w:rPr>
        <w:t>:</w:t>
      </w:r>
    </w:p>
    <w:p w:rsidR="005A4527" w:rsidRPr="002739A0" w:rsidRDefault="00782A22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Teatr Lalka</w:t>
      </w:r>
      <w:r w:rsidR="005A4527" w:rsidRPr="002739A0">
        <w:rPr>
          <w:rFonts w:cs="Calibri"/>
        </w:rPr>
        <w:t>,</w:t>
      </w:r>
    </w:p>
    <w:p w:rsidR="0017033E" w:rsidRPr="002739A0" w:rsidRDefault="00782A22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Teatr Żydowski</w:t>
      </w:r>
      <w:r w:rsidR="0017033E" w:rsidRPr="002739A0">
        <w:rPr>
          <w:rFonts w:cs="Calibri"/>
        </w:rPr>
        <w:t>,</w:t>
      </w:r>
    </w:p>
    <w:p w:rsidR="0017033E" w:rsidRPr="002739A0" w:rsidRDefault="00782A22" w:rsidP="00782A22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782A22">
        <w:rPr>
          <w:rFonts w:cs="Calibri"/>
        </w:rPr>
        <w:t>Dom Kultury</w:t>
      </w:r>
      <w:r>
        <w:rPr>
          <w:rFonts w:cs="Calibri"/>
        </w:rPr>
        <w:t xml:space="preserve"> </w:t>
      </w:r>
      <w:r w:rsidRPr="00782A22">
        <w:rPr>
          <w:rFonts w:cs="Calibri"/>
        </w:rPr>
        <w:t>"PRAGA" w Dzieln</w:t>
      </w:r>
      <w:r w:rsidR="00AF08AD">
        <w:rPr>
          <w:rFonts w:cs="Calibri"/>
        </w:rPr>
        <w:t>icy Praga Północ m.st. Warszawy</w:t>
      </w:r>
      <w:r w:rsidR="0017033E" w:rsidRPr="002739A0">
        <w:rPr>
          <w:rFonts w:cs="Calibri"/>
        </w:rPr>
        <w:t>,</w:t>
      </w:r>
    </w:p>
    <w:p w:rsidR="00A90FBE" w:rsidRPr="002739A0" w:rsidRDefault="001C4692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Bielański Ośrodek Kultury</w:t>
      </w:r>
      <w:r w:rsidR="00A90FBE" w:rsidRPr="002739A0">
        <w:rPr>
          <w:rFonts w:cs="Calibri"/>
        </w:rPr>
        <w:t>,</w:t>
      </w:r>
    </w:p>
    <w:p w:rsidR="001D3181" w:rsidRDefault="001C4692" w:rsidP="00D471F3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>
        <w:rPr>
          <w:rFonts w:cs="Calibri"/>
        </w:rPr>
        <w:t>Ośrodek Kultury Ochoty</w:t>
      </w:r>
      <w:r w:rsidR="001D3181" w:rsidRPr="002739A0">
        <w:rPr>
          <w:rFonts w:cs="Calibri"/>
        </w:rPr>
        <w:t>,</w:t>
      </w:r>
    </w:p>
    <w:p w:rsidR="00AA5414" w:rsidRDefault="00DE1D37" w:rsidP="00DE1D37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proofErr w:type="spellStart"/>
      <w:r w:rsidRPr="002739A0">
        <w:rPr>
          <w:rFonts w:cs="Calibri"/>
        </w:rPr>
        <w:t>Sedeco</w:t>
      </w:r>
      <w:proofErr w:type="spellEnd"/>
      <w:r w:rsidRPr="002739A0">
        <w:rPr>
          <w:rFonts w:cs="Calibri"/>
        </w:rPr>
        <w:t xml:space="preserve"> Sp. z o.o.</w:t>
      </w:r>
      <w:r w:rsidR="001C4692">
        <w:rPr>
          <w:rFonts w:cs="Calibri"/>
        </w:rPr>
        <w:t>,</w:t>
      </w:r>
    </w:p>
    <w:p w:rsidR="001C4692" w:rsidRDefault="001C4692" w:rsidP="001C4692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1C4692">
        <w:rPr>
          <w:rFonts w:cs="Calibri"/>
        </w:rPr>
        <w:t>GGKO Zarządzanie Nieruchomościam</w:t>
      </w:r>
      <w:r w:rsidR="00E21111">
        <w:rPr>
          <w:rFonts w:cs="Calibri"/>
        </w:rPr>
        <w:t>i</w:t>
      </w:r>
      <w:r w:rsidRPr="001C4692">
        <w:rPr>
          <w:rFonts w:cs="Calibri"/>
        </w:rPr>
        <w:t xml:space="preserve"> Sp. z o.o.</w:t>
      </w:r>
      <w:r w:rsidR="00157F2C">
        <w:rPr>
          <w:rFonts w:cs="Calibri"/>
        </w:rPr>
        <w:t>,</w:t>
      </w:r>
    </w:p>
    <w:p w:rsidR="00157F2C" w:rsidRDefault="00157F2C" w:rsidP="00157F2C">
      <w:pPr>
        <w:numPr>
          <w:ilvl w:val="0"/>
          <w:numId w:val="21"/>
        </w:numPr>
        <w:ind w:left="992" w:firstLine="0"/>
        <w:contextualSpacing/>
        <w:rPr>
          <w:rFonts w:cs="Calibri"/>
        </w:rPr>
      </w:pPr>
      <w:r w:rsidRPr="00157F2C">
        <w:rPr>
          <w:rFonts w:cs="Calibri"/>
        </w:rPr>
        <w:t>Towarzystwo Budownictwa Społecznego Warszawa Południe Sp. z o.o.</w:t>
      </w:r>
    </w:p>
    <w:p w:rsidR="00804374" w:rsidRPr="00A16A72" w:rsidRDefault="00804374" w:rsidP="00804374">
      <w:pPr>
        <w:ind w:left="992"/>
        <w:contextualSpacing/>
        <w:rPr>
          <w:rFonts w:cs="Calibri"/>
        </w:rPr>
      </w:pPr>
      <w:r>
        <w:rPr>
          <w:rFonts w:cs="Calibri"/>
        </w:rPr>
        <w:t>Ponadto dokonano korekty bilans</w:t>
      </w:r>
      <w:r w:rsidR="00157F2C">
        <w:rPr>
          <w:rFonts w:cs="Calibri"/>
        </w:rPr>
        <w:t xml:space="preserve">u otwarcia 2022 roku </w:t>
      </w:r>
      <w:r w:rsidR="00874AF2">
        <w:rPr>
          <w:rFonts w:cs="Calibri"/>
        </w:rPr>
        <w:t>dotyczącej</w:t>
      </w:r>
      <w:r w:rsidR="004D1AD2">
        <w:rPr>
          <w:rFonts w:cs="Calibri"/>
        </w:rPr>
        <w:t xml:space="preserve"> </w:t>
      </w:r>
      <w:r w:rsidR="005B14AE">
        <w:rPr>
          <w:rFonts w:cs="Calibri"/>
        </w:rPr>
        <w:t>długoterminowych aktywów finansowych</w:t>
      </w:r>
      <w:r w:rsidR="00CA0586">
        <w:rPr>
          <w:rFonts w:cs="Calibri"/>
        </w:rPr>
        <w:t xml:space="preserve"> w tym akcji i udziałów konsolidowanych metodą praw własności</w:t>
      </w:r>
      <w:r>
        <w:rPr>
          <w:rFonts w:cs="Calibri"/>
        </w:rPr>
        <w:t>.</w:t>
      </w:r>
    </w:p>
    <w:p w:rsidR="006B655B" w:rsidRPr="002739A0" w:rsidRDefault="00DD5BBA" w:rsidP="00A16A72">
      <w:pPr>
        <w:spacing w:before="480"/>
        <w:ind w:left="992"/>
        <w:rPr>
          <w:rFonts w:cs="Calibri"/>
        </w:rPr>
      </w:pPr>
      <w:r w:rsidRPr="002739A0">
        <w:rPr>
          <w:rFonts w:cs="Calibri"/>
        </w:rPr>
        <w:t>Powyższe k</w:t>
      </w:r>
      <w:r w:rsidR="00B0549F" w:rsidRPr="002739A0">
        <w:rPr>
          <w:rFonts w:cs="Calibri"/>
        </w:rPr>
        <w:t>orekty wpłynęły na z</w:t>
      </w:r>
      <w:r w:rsidR="00874AF2">
        <w:rPr>
          <w:rFonts w:cs="Calibri"/>
        </w:rPr>
        <w:t>większenie</w:t>
      </w:r>
      <w:r w:rsidR="00B42BFD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sumy bilansowej pomiędzy b</w:t>
      </w:r>
      <w:r w:rsidR="008A0AD0">
        <w:rPr>
          <w:rFonts w:cs="Calibri"/>
        </w:rPr>
        <w:t>ilansem zamknięcia na 31.12.2021</w:t>
      </w:r>
      <w:r w:rsidR="00F71EF3" w:rsidRPr="002739A0">
        <w:rPr>
          <w:rFonts w:cs="Calibri"/>
        </w:rPr>
        <w:t xml:space="preserve"> </w:t>
      </w:r>
      <w:r w:rsidR="007C5F5B" w:rsidRPr="002739A0">
        <w:rPr>
          <w:rFonts w:cs="Calibri"/>
        </w:rPr>
        <w:t>r.</w:t>
      </w:r>
      <w:r w:rsidR="00635C79" w:rsidRPr="002739A0">
        <w:rPr>
          <w:rFonts w:cs="Calibri"/>
        </w:rPr>
        <w:t xml:space="preserve">, </w:t>
      </w:r>
      <w:r w:rsidR="007C5F5B" w:rsidRPr="002739A0">
        <w:rPr>
          <w:rFonts w:cs="Calibri"/>
        </w:rPr>
        <w:t>a</w:t>
      </w:r>
      <w:r w:rsidR="001711A1" w:rsidRPr="002739A0">
        <w:rPr>
          <w:rFonts w:cs="Calibri"/>
        </w:rPr>
        <w:t> </w:t>
      </w:r>
      <w:r w:rsidR="002B10D1">
        <w:rPr>
          <w:rFonts w:cs="Calibri"/>
        </w:rPr>
        <w:t xml:space="preserve">bilansem </w:t>
      </w:r>
      <w:r w:rsidR="002B10D1" w:rsidRPr="00782A22">
        <w:rPr>
          <w:rFonts w:cs="Calibri"/>
        </w:rPr>
        <w:t>otwarcia na 01.01.2022</w:t>
      </w:r>
      <w:r w:rsidR="00F71EF3" w:rsidRPr="00782A22">
        <w:rPr>
          <w:rFonts w:cs="Calibri"/>
        </w:rPr>
        <w:t xml:space="preserve"> </w:t>
      </w:r>
      <w:r w:rsidR="00922AD6" w:rsidRPr="00782A22">
        <w:rPr>
          <w:rFonts w:cs="Calibri"/>
        </w:rPr>
        <w:t>r</w:t>
      </w:r>
      <w:r w:rsidR="009436DF" w:rsidRPr="00782A22">
        <w:rPr>
          <w:rFonts w:cs="Calibri"/>
        </w:rPr>
        <w:t>.</w:t>
      </w:r>
      <w:r w:rsidR="0017033E" w:rsidRPr="002739A0">
        <w:rPr>
          <w:rFonts w:cs="Calibri"/>
        </w:rPr>
        <w:t xml:space="preserve"> o kwotę </w:t>
      </w:r>
      <w:r w:rsidR="00216933" w:rsidRPr="00216933">
        <w:rPr>
          <w:rFonts w:cs="Calibri"/>
        </w:rPr>
        <w:t>9</w:t>
      </w:r>
      <w:r w:rsidR="00216933">
        <w:rPr>
          <w:rFonts w:cs="Calibri"/>
        </w:rPr>
        <w:t> </w:t>
      </w:r>
      <w:r w:rsidR="00216933" w:rsidRPr="00216933">
        <w:rPr>
          <w:rFonts w:cs="Calibri"/>
        </w:rPr>
        <w:t>044</w:t>
      </w:r>
      <w:r w:rsidR="00216933">
        <w:rPr>
          <w:rFonts w:cs="Calibri"/>
        </w:rPr>
        <w:t> </w:t>
      </w:r>
      <w:r w:rsidR="00216933" w:rsidRPr="00216933">
        <w:rPr>
          <w:rFonts w:cs="Calibri"/>
        </w:rPr>
        <w:t>910,53</w:t>
      </w:r>
      <w:r w:rsidR="00216933">
        <w:rPr>
          <w:rFonts w:cs="Calibri"/>
        </w:rPr>
        <w:t> </w:t>
      </w:r>
      <w:r w:rsidR="0017033E" w:rsidRPr="002739A0">
        <w:rPr>
          <w:rFonts w:cs="Calibri"/>
        </w:rPr>
        <w:t>zł.</w:t>
      </w:r>
    </w:p>
    <w:p w:rsidR="006B655B" w:rsidRPr="002739A0" w:rsidRDefault="006B655B" w:rsidP="006B655B">
      <w:r w:rsidRPr="002739A0">
        <w:br w:type="page"/>
      </w:r>
    </w:p>
    <w:p w:rsidR="00BF2842" w:rsidRPr="002739A0" w:rsidRDefault="00F964E2" w:rsidP="00D4279A">
      <w:pPr>
        <w:spacing w:after="0" w:line="240" w:lineRule="auto"/>
        <w:rPr>
          <w:rFonts w:cs="Calibri"/>
        </w:rPr>
      </w:pPr>
      <w:r w:rsidRPr="002739A0">
        <w:rPr>
          <w:rFonts w:cs="Calibri"/>
        </w:rPr>
        <w:t>Zestawienie zmian z tytułu korekty bilansu otwarc</w:t>
      </w:r>
      <w:r w:rsidR="00B01D05">
        <w:rPr>
          <w:rFonts w:cs="Calibri"/>
        </w:rPr>
        <w:t>ia 2022</w:t>
      </w:r>
      <w:r w:rsidR="00E61932" w:rsidRPr="002739A0">
        <w:rPr>
          <w:rFonts w:cs="Calibri"/>
        </w:rPr>
        <w:t xml:space="preserve"> roku w związku ze zmianą</w:t>
      </w:r>
      <w:r w:rsidRPr="002739A0">
        <w:rPr>
          <w:rFonts w:cs="Calibri"/>
        </w:rPr>
        <w:t xml:space="preserve"> prezentacji pozycji i korektami: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estawienie zmian w bilansie otwarcia"/>
      </w:tblPr>
      <w:tblGrid>
        <w:gridCol w:w="922"/>
        <w:gridCol w:w="2115"/>
        <w:gridCol w:w="1953"/>
        <w:gridCol w:w="2023"/>
        <w:gridCol w:w="1941"/>
      </w:tblGrid>
      <w:tr w:rsidR="00FB6E25" w:rsidRPr="008364CA" w:rsidTr="008364CA">
        <w:trPr>
          <w:tblHeader/>
        </w:trPr>
        <w:tc>
          <w:tcPr>
            <w:tcW w:w="922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Pozycja w bilansie</w:t>
            </w:r>
          </w:p>
        </w:tc>
        <w:tc>
          <w:tcPr>
            <w:tcW w:w="2115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Zmienione pozycje</w:t>
            </w:r>
          </w:p>
        </w:tc>
        <w:tc>
          <w:tcPr>
            <w:tcW w:w="3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za poprzedni rok obrotowy</w:t>
            </w:r>
          </w:p>
        </w:tc>
        <w:tc>
          <w:tcPr>
            <w:tcW w:w="1941" w:type="dxa"/>
            <w:vMerge w:val="restart"/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sprawozdawcze za rok obrotowy</w:t>
            </w:r>
          </w:p>
          <w:p w:rsidR="00FB6E25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721819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31.12</w:t>
            </w:r>
            <w:r w:rsidR="00B66A2D" w:rsidRPr="008364CA">
              <w:rPr>
                <w:rFonts w:cs="Calibri"/>
                <w:b/>
              </w:rPr>
              <w:t>.202</w:t>
            </w:r>
            <w:r w:rsidR="002B10D1" w:rsidRPr="008364CA">
              <w:rPr>
                <w:rFonts w:cs="Calibri"/>
                <w:b/>
              </w:rPr>
              <w:t>2</w:t>
            </w:r>
          </w:p>
        </w:tc>
      </w:tr>
      <w:tr w:rsidR="00FB6E25" w:rsidRPr="008364CA" w:rsidTr="008364CA">
        <w:trPr>
          <w:tblHeader/>
        </w:trPr>
        <w:tc>
          <w:tcPr>
            <w:tcW w:w="92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  <w:tc>
          <w:tcPr>
            <w:tcW w:w="1953" w:type="dxa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Dane porównawcze</w:t>
            </w:r>
          </w:p>
          <w:p w:rsidR="00031D0F" w:rsidRPr="008364CA" w:rsidRDefault="00031D0F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851507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31.12.202</w:t>
            </w:r>
            <w:r w:rsidR="002B10D1" w:rsidRPr="008364CA">
              <w:rPr>
                <w:rFonts w:cs="Calibri"/>
                <w:b/>
              </w:rPr>
              <w:t>1</w:t>
            </w:r>
          </w:p>
        </w:tc>
        <w:tc>
          <w:tcPr>
            <w:tcW w:w="2023" w:type="dxa"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Przekształcone dane porównawcze</w:t>
            </w:r>
          </w:p>
          <w:p w:rsidR="00FB6E25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z</w:t>
            </w:r>
            <w:r w:rsidR="00FB6E25" w:rsidRPr="008364CA">
              <w:rPr>
                <w:rFonts w:cs="Calibri"/>
                <w:b/>
              </w:rPr>
              <w:t>ł</w:t>
            </w:r>
          </w:p>
          <w:p w:rsidR="00B66A2D" w:rsidRPr="008364CA" w:rsidRDefault="00B66A2D" w:rsidP="00717F41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01.01.202</w:t>
            </w:r>
            <w:r w:rsidR="002B10D1" w:rsidRPr="008364CA">
              <w:rPr>
                <w:rFonts w:cs="Calibri"/>
                <w:b/>
              </w:rPr>
              <w:t>2</w:t>
            </w:r>
          </w:p>
        </w:tc>
        <w:tc>
          <w:tcPr>
            <w:tcW w:w="1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6E25" w:rsidRPr="008364CA" w:rsidRDefault="00FB6E25" w:rsidP="00717F4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</w:p>
        </w:tc>
      </w:tr>
      <w:tr w:rsidR="002B10D1" w:rsidRPr="008364CA" w:rsidTr="008364CA">
        <w:tc>
          <w:tcPr>
            <w:tcW w:w="3037" w:type="dxa"/>
            <w:gridSpan w:val="2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Aktywa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58 923 963 177,92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11509C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58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933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008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088,45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11509C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249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761,76</w:t>
            </w:r>
          </w:p>
        </w:tc>
      </w:tr>
      <w:tr w:rsidR="002B10D1" w:rsidRPr="008364CA" w:rsidTr="008364CA">
        <w:trPr>
          <w:trHeight w:val="195"/>
        </w:trPr>
        <w:tc>
          <w:tcPr>
            <w:tcW w:w="922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Aktywa trwałe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50 536 798 779,73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ED56C2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ED56C2">
              <w:rPr>
                <w:rFonts w:cs="Calibri"/>
                <w:b/>
              </w:rPr>
              <w:t>50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545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715</w:t>
            </w:r>
            <w:r>
              <w:rPr>
                <w:rFonts w:cs="Calibri"/>
                <w:b/>
              </w:rPr>
              <w:t xml:space="preserve"> </w:t>
            </w:r>
            <w:r w:rsidRPr="00ED56C2">
              <w:rPr>
                <w:rFonts w:cs="Calibri"/>
                <w:b/>
              </w:rPr>
              <w:t>659,33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ED56C2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ED56C2">
              <w:rPr>
                <w:rFonts w:cs="Calibri"/>
                <w:b/>
              </w:rPr>
              <w:t>52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883</w:t>
            </w:r>
            <w:r>
              <w:rPr>
                <w:rFonts w:cs="Calibri"/>
                <w:b/>
              </w:rPr>
              <w:t> </w:t>
            </w:r>
            <w:r w:rsidRPr="00ED56C2">
              <w:rPr>
                <w:rFonts w:cs="Calibri"/>
                <w:b/>
              </w:rPr>
              <w:t>258</w:t>
            </w:r>
            <w:r>
              <w:rPr>
                <w:rFonts w:cs="Calibri"/>
                <w:b/>
              </w:rPr>
              <w:t xml:space="preserve"> </w:t>
            </w:r>
            <w:r w:rsidRPr="00ED56C2">
              <w:rPr>
                <w:rFonts w:cs="Calibri"/>
                <w:b/>
              </w:rPr>
              <w:t>755,71</w:t>
            </w:r>
          </w:p>
        </w:tc>
      </w:tr>
      <w:tr w:rsidR="002B10D1" w:rsidRPr="008364CA" w:rsidTr="008364CA">
        <w:trPr>
          <w:trHeight w:val="126"/>
        </w:trPr>
        <w:tc>
          <w:tcPr>
            <w:tcW w:w="922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Wartości niematerialne i prawne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81 559 649,83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E07731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81 559 769,27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3831BA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89 947 568,34</w:t>
            </w:r>
          </w:p>
        </w:tc>
      </w:tr>
      <w:tr w:rsidR="002B10D1" w:rsidRPr="008364CA" w:rsidTr="008364CA">
        <w:tc>
          <w:tcPr>
            <w:tcW w:w="922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Rzeczowe aktywa trwałe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2B10D1" w:rsidRPr="008364CA" w:rsidRDefault="002B10D1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49 505 991 659,52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2B10D1" w:rsidRPr="008364CA" w:rsidRDefault="0005776E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49 505 992 246,17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B10D1" w:rsidRPr="008364CA" w:rsidRDefault="003831BA" w:rsidP="002B10D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51 855 141 233,24</w:t>
            </w:r>
          </w:p>
        </w:tc>
      </w:tr>
      <w:tr w:rsidR="00FC6520" w:rsidRPr="008364CA" w:rsidTr="008364CA">
        <w:trPr>
          <w:trHeight w:val="90"/>
        </w:trPr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A.III.1.3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Pozostałe środki trwałe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3 956 759 764,50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3 956 760 351,15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5449A7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4 605 581 733,69</w:t>
            </w:r>
          </w:p>
        </w:tc>
      </w:tr>
      <w:tr w:rsidR="00FC6520" w:rsidRPr="008364CA" w:rsidTr="008364CA">
        <w:trPr>
          <w:trHeight w:val="885"/>
        </w:trPr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A.III.1.4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Środki trwałe w budowie (inwestycje)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6 786 743 479,87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6 787 193 133,63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5449A7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8 168 966 934,69</w:t>
            </w:r>
          </w:p>
        </w:tc>
      </w:tr>
      <w:tr w:rsidR="00FC6520" w:rsidRPr="008364CA" w:rsidTr="008364CA">
        <w:trPr>
          <w:trHeight w:val="107"/>
        </w:trPr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A.III.1.5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Środki przekazane na poczet środków trwałych w budowie (inwestycji)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404 316 564,41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403 866 910,65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5449A7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438 051 216,06</w:t>
            </w:r>
          </w:p>
        </w:tc>
      </w:tr>
      <w:tr w:rsidR="0005776E" w:rsidRPr="008364CA" w:rsidTr="008364CA">
        <w:tc>
          <w:tcPr>
            <w:tcW w:w="922" w:type="dxa"/>
            <w:shd w:val="clear" w:color="auto" w:fill="auto"/>
            <w:vAlign w:val="center"/>
          </w:tcPr>
          <w:p w:rsidR="0005776E" w:rsidRPr="008364CA" w:rsidRDefault="0005776E" w:rsidP="0005776E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A.IV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5776E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Długoterminowe aktywa finansowe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05776E" w:rsidRPr="008364CA" w:rsidRDefault="00525334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572 400,71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5776E" w:rsidRPr="008364CA" w:rsidRDefault="00ED56C2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56C2">
              <w:rPr>
                <w:rFonts w:cs="Calibri"/>
              </w:rPr>
              <w:t>9</w:t>
            </w:r>
            <w:r>
              <w:rPr>
                <w:rFonts w:cs="Calibri"/>
              </w:rPr>
              <w:t> </w:t>
            </w:r>
            <w:r w:rsidRPr="00ED56C2">
              <w:rPr>
                <w:rFonts w:cs="Calibri"/>
              </w:rPr>
              <w:t>488</w:t>
            </w:r>
            <w:r>
              <w:rPr>
                <w:rFonts w:cs="Calibri"/>
              </w:rPr>
              <w:t xml:space="preserve"> </w:t>
            </w:r>
            <w:r w:rsidRPr="00ED56C2">
              <w:rPr>
                <w:rFonts w:cs="Calibri"/>
              </w:rPr>
              <w:t>574,22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5776E" w:rsidRPr="008364CA" w:rsidRDefault="00ED56C2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56C2">
              <w:rPr>
                <w:rFonts w:cs="Calibri"/>
              </w:rPr>
              <w:t>18</w:t>
            </w:r>
            <w:r>
              <w:rPr>
                <w:rFonts w:cs="Calibri"/>
              </w:rPr>
              <w:t> </w:t>
            </w:r>
            <w:r w:rsidRPr="00ED56C2">
              <w:rPr>
                <w:rFonts w:cs="Calibri"/>
              </w:rPr>
              <w:t>857</w:t>
            </w:r>
            <w:r>
              <w:rPr>
                <w:rFonts w:cs="Calibri"/>
              </w:rPr>
              <w:t xml:space="preserve"> </w:t>
            </w:r>
            <w:r w:rsidRPr="00ED56C2">
              <w:rPr>
                <w:rFonts w:cs="Calibri"/>
              </w:rPr>
              <w:t>487,97</w:t>
            </w:r>
          </w:p>
        </w:tc>
      </w:tr>
      <w:tr w:rsidR="0005776E" w:rsidRPr="008364CA" w:rsidTr="008364CA">
        <w:tc>
          <w:tcPr>
            <w:tcW w:w="922" w:type="dxa"/>
            <w:shd w:val="clear" w:color="auto" w:fill="auto"/>
            <w:vAlign w:val="center"/>
          </w:tcPr>
          <w:p w:rsidR="0005776E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A.IV.1.1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05776E" w:rsidRPr="008364CA" w:rsidRDefault="0005776E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Akcje i udziały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05776E" w:rsidRPr="008364CA" w:rsidRDefault="00525334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485 785,05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05776E" w:rsidRPr="008364CA" w:rsidRDefault="00ED56C2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56C2">
              <w:rPr>
                <w:rFonts w:cs="Calibri"/>
              </w:rPr>
              <w:t>9</w:t>
            </w:r>
            <w:r>
              <w:rPr>
                <w:rFonts w:cs="Calibri"/>
              </w:rPr>
              <w:t> </w:t>
            </w:r>
            <w:r w:rsidRPr="00ED56C2">
              <w:rPr>
                <w:rFonts w:cs="Calibri"/>
              </w:rPr>
              <w:t>401</w:t>
            </w:r>
            <w:r>
              <w:rPr>
                <w:rFonts w:cs="Calibri"/>
              </w:rPr>
              <w:t xml:space="preserve"> </w:t>
            </w:r>
            <w:r w:rsidRPr="00ED56C2">
              <w:rPr>
                <w:rFonts w:cs="Calibri"/>
              </w:rPr>
              <w:t>958,56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05776E" w:rsidRPr="008364CA" w:rsidRDefault="00ED56C2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56C2">
              <w:rPr>
                <w:rFonts w:cs="Calibri"/>
              </w:rPr>
              <w:t>8</w:t>
            </w:r>
            <w:r>
              <w:rPr>
                <w:rFonts w:cs="Calibri"/>
              </w:rPr>
              <w:t> </w:t>
            </w:r>
            <w:r w:rsidRPr="00ED56C2">
              <w:rPr>
                <w:rFonts w:cs="Calibri"/>
              </w:rPr>
              <w:t>690</w:t>
            </w:r>
            <w:r>
              <w:rPr>
                <w:rFonts w:cs="Calibri"/>
              </w:rPr>
              <w:t xml:space="preserve"> </w:t>
            </w:r>
            <w:r w:rsidRPr="00ED56C2">
              <w:rPr>
                <w:rFonts w:cs="Calibri"/>
              </w:rPr>
              <w:t>538,05</w:t>
            </w:r>
          </w:p>
        </w:tc>
      </w:tr>
      <w:tr w:rsidR="00FC6520" w:rsidRPr="008364CA" w:rsidTr="008364CA"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Aktywa obrotowe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8 035 776 395,48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525334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8 035 739 227,71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C50259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C50259">
              <w:rPr>
                <w:rFonts w:cs="Calibri"/>
                <w:b/>
              </w:rPr>
              <w:t>8</w:t>
            </w:r>
            <w:r>
              <w:rPr>
                <w:rFonts w:cs="Calibri"/>
                <w:b/>
              </w:rPr>
              <w:t> </w:t>
            </w:r>
            <w:r w:rsidRPr="00C50259">
              <w:rPr>
                <w:rFonts w:cs="Calibri"/>
                <w:b/>
              </w:rPr>
              <w:t>401</w:t>
            </w:r>
            <w:r>
              <w:rPr>
                <w:rFonts w:cs="Calibri"/>
                <w:b/>
              </w:rPr>
              <w:t> </w:t>
            </w:r>
            <w:r w:rsidRPr="00C50259">
              <w:rPr>
                <w:rFonts w:cs="Calibri"/>
                <w:b/>
              </w:rPr>
              <w:t>906</w:t>
            </w:r>
            <w:r>
              <w:rPr>
                <w:rFonts w:cs="Calibri"/>
                <w:b/>
              </w:rPr>
              <w:t xml:space="preserve"> </w:t>
            </w:r>
            <w:r w:rsidRPr="00C50259">
              <w:rPr>
                <w:rFonts w:cs="Calibri"/>
                <w:b/>
              </w:rPr>
              <w:t>251,68</w:t>
            </w:r>
          </w:p>
        </w:tc>
      </w:tr>
      <w:tr w:rsidR="00FC6520" w:rsidRPr="008364CA" w:rsidTr="008364CA">
        <w:tc>
          <w:tcPr>
            <w:tcW w:w="922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B.II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Należności i roszczenia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FC6520" w:rsidRPr="008364CA" w:rsidRDefault="00FC6520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1 550 914 281,93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FC6520" w:rsidRPr="008364CA" w:rsidRDefault="00525334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1 550 877 114,16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C6520" w:rsidRPr="008364CA" w:rsidRDefault="00A73B7D" w:rsidP="00FC6520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A73B7D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A73B7D">
              <w:rPr>
                <w:rFonts w:cs="Calibri"/>
              </w:rPr>
              <w:t>445</w:t>
            </w:r>
            <w:r>
              <w:rPr>
                <w:rFonts w:cs="Calibri"/>
              </w:rPr>
              <w:t> </w:t>
            </w:r>
            <w:r w:rsidRPr="00A73B7D">
              <w:rPr>
                <w:rFonts w:cs="Calibri"/>
              </w:rPr>
              <w:t>470</w:t>
            </w:r>
            <w:r>
              <w:rPr>
                <w:rFonts w:cs="Calibri"/>
              </w:rPr>
              <w:t xml:space="preserve"> </w:t>
            </w:r>
            <w:r w:rsidRPr="00A73B7D">
              <w:rPr>
                <w:rFonts w:cs="Calibri"/>
              </w:rPr>
              <w:t>436,74</w:t>
            </w:r>
          </w:p>
        </w:tc>
      </w:tr>
      <w:tr w:rsidR="00AB2AD8" w:rsidRPr="008364CA" w:rsidTr="008364CA">
        <w:trPr>
          <w:trHeight w:val="105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351 388 002,71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903D2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351 553 201,41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A73B7D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A73B7D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A73B7D">
              <w:rPr>
                <w:rFonts w:cs="Calibri"/>
                <w:b/>
              </w:rPr>
              <w:t>084</w:t>
            </w:r>
            <w:r>
              <w:rPr>
                <w:rFonts w:cs="Calibri"/>
                <w:b/>
              </w:rPr>
              <w:t xml:space="preserve"> </w:t>
            </w:r>
            <w:r w:rsidRPr="00A73B7D">
              <w:rPr>
                <w:rFonts w:cs="Calibri"/>
                <w:b/>
              </w:rPr>
              <w:t>754,37</w:t>
            </w:r>
          </w:p>
        </w:tc>
      </w:tr>
      <w:tr w:rsidR="00AB2AD8" w:rsidRPr="008364CA" w:rsidTr="008364CA">
        <w:tc>
          <w:tcPr>
            <w:tcW w:w="3037" w:type="dxa"/>
            <w:gridSpan w:val="2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Pasywa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58 923 963 177,92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11509C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58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933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008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088,45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11509C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11509C">
              <w:rPr>
                <w:rFonts w:cs="Calibri"/>
                <w:b/>
              </w:rPr>
              <w:t>61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675</w:t>
            </w:r>
            <w:r>
              <w:rPr>
                <w:rFonts w:cs="Calibri"/>
                <w:b/>
              </w:rPr>
              <w:t> </w:t>
            </w:r>
            <w:r w:rsidRPr="0011509C">
              <w:rPr>
                <w:rFonts w:cs="Calibri"/>
                <w:b/>
              </w:rPr>
              <w:t>249</w:t>
            </w:r>
            <w:r>
              <w:rPr>
                <w:rFonts w:cs="Calibri"/>
                <w:b/>
              </w:rPr>
              <w:t xml:space="preserve"> </w:t>
            </w:r>
            <w:r w:rsidRPr="0011509C">
              <w:rPr>
                <w:rFonts w:cs="Calibri"/>
                <w:b/>
              </w:rPr>
              <w:t>761,76</w:t>
            </w:r>
          </w:p>
        </w:tc>
      </w:tr>
      <w:tr w:rsidR="00AB2AD8" w:rsidRPr="008364CA" w:rsidTr="008364CA">
        <w:trPr>
          <w:trHeight w:val="225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A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Fundusz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364CA">
              <w:rPr>
                <w:rFonts w:cs="Calibri"/>
                <w:b/>
              </w:rPr>
              <w:t>39 615 454 250,66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02D2E">
              <w:rPr>
                <w:rFonts w:cs="Calibri"/>
                <w:b/>
              </w:rPr>
              <w:t>39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624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816</w:t>
            </w:r>
            <w:r>
              <w:rPr>
                <w:rFonts w:cs="Calibri"/>
                <w:b/>
              </w:rPr>
              <w:t xml:space="preserve"> </w:t>
            </w:r>
            <w:r w:rsidRPr="00F02D2E">
              <w:rPr>
                <w:rFonts w:cs="Calibri"/>
                <w:b/>
              </w:rPr>
              <w:t>436,74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02D2E">
              <w:rPr>
                <w:rFonts w:cs="Calibri"/>
                <w:b/>
              </w:rPr>
              <w:t>40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832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265</w:t>
            </w:r>
            <w:r>
              <w:rPr>
                <w:rFonts w:cs="Calibri"/>
                <w:b/>
              </w:rPr>
              <w:t xml:space="preserve"> </w:t>
            </w:r>
            <w:r w:rsidRPr="00F02D2E">
              <w:rPr>
                <w:rFonts w:cs="Calibri"/>
                <w:b/>
              </w:rPr>
              <w:t>987,65</w:t>
            </w:r>
          </w:p>
        </w:tc>
      </w:tr>
      <w:tr w:rsidR="00AB2AD8" w:rsidRPr="008364CA" w:rsidTr="008364CA">
        <w:trPr>
          <w:trHeight w:val="370"/>
        </w:trPr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Fundusze jednostek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37 342 106 956,65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9F603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37 342 666 435,78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38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104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218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403,35</w:t>
            </w:r>
          </w:p>
        </w:tc>
      </w:tr>
      <w:tr w:rsidR="00AB2AD8" w:rsidRPr="008364CA" w:rsidTr="008364CA"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A.IV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Wyniki finansowe roku bieżącego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4 491 494 304,42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493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107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972,56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525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945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097,41</w:t>
            </w:r>
          </w:p>
        </w:tc>
      </w:tr>
      <w:tr w:rsidR="00AB2AD8" w:rsidRPr="008364CA" w:rsidTr="008364CA"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A.IV.1.1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Zysk netto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16 964 496 107,73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16 970 068 550,84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16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608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860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369,23</w:t>
            </w:r>
          </w:p>
        </w:tc>
      </w:tr>
      <w:tr w:rsidR="00AB2AD8" w:rsidRPr="008364CA" w:rsidTr="008364CA"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A.IV.1.2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-12 473 001 803,31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9F6034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-</w:t>
            </w:r>
            <w:r w:rsidR="008364CA" w:rsidRPr="008364CA">
              <w:rPr>
                <w:rFonts w:cs="Calibri"/>
              </w:rPr>
              <w:t>12</w:t>
            </w:r>
            <w:r w:rsidR="008364CA">
              <w:rPr>
                <w:rFonts w:cs="Calibri"/>
              </w:rPr>
              <w:t> </w:t>
            </w:r>
            <w:r w:rsidR="008364CA" w:rsidRPr="008364CA">
              <w:rPr>
                <w:rFonts w:cs="Calibri"/>
              </w:rPr>
              <w:t>476</w:t>
            </w:r>
            <w:r w:rsidR="008364CA">
              <w:rPr>
                <w:rFonts w:cs="Calibri"/>
              </w:rPr>
              <w:t> </w:t>
            </w:r>
            <w:r w:rsidR="008364CA" w:rsidRPr="008364CA">
              <w:rPr>
                <w:rFonts w:cs="Calibri"/>
              </w:rPr>
              <w:t>960</w:t>
            </w:r>
            <w:r w:rsidR="008364CA">
              <w:rPr>
                <w:rFonts w:cs="Calibri"/>
              </w:rPr>
              <w:t xml:space="preserve"> </w:t>
            </w:r>
            <w:r w:rsidR="008364CA" w:rsidRPr="008364CA">
              <w:rPr>
                <w:rFonts w:cs="Calibri"/>
              </w:rPr>
              <w:t>578,28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-12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082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915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271,82</w:t>
            </w:r>
          </w:p>
        </w:tc>
      </w:tr>
      <w:tr w:rsidR="00AB2AD8" w:rsidRPr="008364CA" w:rsidTr="008364CA">
        <w:tc>
          <w:tcPr>
            <w:tcW w:w="922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 xml:space="preserve">A.V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Wyniki finansowe lat ubiegłych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8364CA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-492 237 361,72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-485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048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322,91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8364CA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-483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638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823,6</w:t>
            </w:r>
            <w:r>
              <w:rPr>
                <w:rFonts w:cs="Calibri"/>
              </w:rPr>
              <w:t>0</w:t>
            </w:r>
          </w:p>
        </w:tc>
      </w:tr>
      <w:tr w:rsidR="0033678C" w:rsidRPr="002739A0" w:rsidTr="008364CA">
        <w:tc>
          <w:tcPr>
            <w:tcW w:w="922" w:type="dxa"/>
            <w:shd w:val="clear" w:color="auto" w:fill="auto"/>
            <w:vAlign w:val="center"/>
          </w:tcPr>
          <w:p w:rsidR="0033678C" w:rsidRPr="008364CA" w:rsidRDefault="0033678C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A.V.1.1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3678C" w:rsidRPr="008364CA" w:rsidRDefault="0033678C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8364CA">
              <w:rPr>
                <w:rFonts w:cs="Calibri"/>
              </w:rPr>
              <w:t>Zysk netto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33678C" w:rsidRPr="008364CA" w:rsidRDefault="00090B20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211 122,15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33678C" w:rsidRPr="008364CA" w:rsidRDefault="008364CA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364CA">
              <w:rPr>
                <w:rFonts w:cs="Calibri"/>
              </w:rPr>
              <w:t>209</w:t>
            </w:r>
            <w:r>
              <w:rPr>
                <w:rFonts w:cs="Calibri"/>
              </w:rPr>
              <w:t xml:space="preserve"> </w:t>
            </w:r>
            <w:r w:rsidRPr="008364CA">
              <w:rPr>
                <w:rFonts w:cs="Calibri"/>
              </w:rPr>
              <w:t>057,4</w:t>
            </w:r>
            <w:r>
              <w:rPr>
                <w:rFonts w:cs="Calibri"/>
              </w:rPr>
              <w:t>0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33678C" w:rsidRPr="002739A0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72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424,21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A.V.1.2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Strata netto (-)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-492 448 483,87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F02D2E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F02D2E">
              <w:rPr>
                <w:rFonts w:cs="Calibri"/>
              </w:rPr>
              <w:t>-485</w:t>
            </w:r>
            <w:r>
              <w:rPr>
                <w:rFonts w:cs="Calibri"/>
              </w:rPr>
              <w:t> </w:t>
            </w:r>
            <w:r w:rsidRPr="00F02D2E">
              <w:rPr>
                <w:rFonts w:cs="Calibri"/>
              </w:rPr>
              <w:t>257</w:t>
            </w:r>
            <w:r>
              <w:rPr>
                <w:rFonts w:cs="Calibri"/>
              </w:rPr>
              <w:t xml:space="preserve"> </w:t>
            </w:r>
            <w:r w:rsidRPr="00F02D2E">
              <w:rPr>
                <w:rFonts w:cs="Calibri"/>
              </w:rPr>
              <w:t>380,31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ED18D7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18D7">
              <w:rPr>
                <w:rFonts w:cs="Calibri"/>
              </w:rPr>
              <w:t>-483</w:t>
            </w:r>
            <w:r>
              <w:rPr>
                <w:rFonts w:cs="Calibri"/>
              </w:rPr>
              <w:t> </w:t>
            </w:r>
            <w:r w:rsidRPr="00ED18D7">
              <w:rPr>
                <w:rFonts w:cs="Calibri"/>
              </w:rPr>
              <w:t>711</w:t>
            </w:r>
            <w:r>
              <w:rPr>
                <w:rFonts w:cs="Calibri"/>
              </w:rPr>
              <w:t xml:space="preserve"> </w:t>
            </w:r>
            <w:r w:rsidRPr="00ED18D7">
              <w:rPr>
                <w:rFonts w:cs="Calibri"/>
              </w:rPr>
              <w:t>247,81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B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długoterminowe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7 630 044 879,89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ED18D7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D18D7">
              <w:rPr>
                <w:rFonts w:cs="Calibri"/>
                <w:b/>
              </w:rPr>
              <w:t>7</w:t>
            </w:r>
            <w:r>
              <w:rPr>
                <w:rFonts w:cs="Calibri"/>
                <w:b/>
              </w:rPr>
              <w:t> </w:t>
            </w:r>
            <w:r w:rsidRPr="00ED18D7">
              <w:rPr>
                <w:rFonts w:cs="Calibri"/>
                <w:b/>
              </w:rPr>
              <w:t>630</w:t>
            </w:r>
            <w:r>
              <w:rPr>
                <w:rFonts w:cs="Calibri"/>
                <w:b/>
              </w:rPr>
              <w:t> </w:t>
            </w:r>
            <w:r w:rsidRPr="00ED18D7">
              <w:rPr>
                <w:rFonts w:cs="Calibri"/>
                <w:b/>
              </w:rPr>
              <w:t>438</w:t>
            </w:r>
            <w:r>
              <w:rPr>
                <w:rFonts w:cs="Calibri"/>
                <w:b/>
              </w:rPr>
              <w:t xml:space="preserve"> </w:t>
            </w:r>
            <w:r w:rsidRPr="00ED18D7">
              <w:rPr>
                <w:rFonts w:cs="Calibri"/>
                <w:b/>
              </w:rPr>
              <w:t>499,06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F02D2E" w:rsidP="000D3411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F02D2E">
              <w:rPr>
                <w:rFonts w:cs="Calibri"/>
                <w:b/>
              </w:rPr>
              <w:t>8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003</w:t>
            </w:r>
            <w:r>
              <w:rPr>
                <w:rFonts w:cs="Calibri"/>
                <w:b/>
              </w:rPr>
              <w:t> </w:t>
            </w:r>
            <w:r w:rsidRPr="00F02D2E">
              <w:rPr>
                <w:rFonts w:cs="Calibri"/>
                <w:b/>
              </w:rPr>
              <w:t>721</w:t>
            </w:r>
            <w:r>
              <w:rPr>
                <w:rFonts w:cs="Calibri"/>
                <w:b/>
              </w:rPr>
              <w:t xml:space="preserve"> </w:t>
            </w:r>
            <w:r w:rsidRPr="00F02D2E">
              <w:rPr>
                <w:rFonts w:cs="Calibri"/>
                <w:b/>
              </w:rPr>
              <w:t>947,01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B.II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Pozostałe zobowiązania długoterminowe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789 833 919,95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7F6C89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F6C89">
              <w:rPr>
                <w:rFonts w:cs="Calibri"/>
              </w:rPr>
              <w:t>790 227 539,12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F6C89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F6C89">
              <w:rPr>
                <w:rFonts w:cs="Calibri"/>
              </w:rPr>
              <w:t>830</w:t>
            </w:r>
            <w:r>
              <w:rPr>
                <w:rFonts w:cs="Calibri"/>
              </w:rPr>
              <w:t> </w:t>
            </w:r>
            <w:r w:rsidRPr="007F6C89">
              <w:rPr>
                <w:rFonts w:cs="Calibri"/>
              </w:rPr>
              <w:t>495</w:t>
            </w:r>
            <w:r>
              <w:rPr>
                <w:rFonts w:cs="Calibri"/>
              </w:rPr>
              <w:t xml:space="preserve"> </w:t>
            </w:r>
            <w:r w:rsidRPr="007F6C89">
              <w:rPr>
                <w:rFonts w:cs="Calibri"/>
              </w:rPr>
              <w:t>414,03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C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Zobowiązania krótkoterminowe i fundusze specjalne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5 866 878 581,04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8670B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670B1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866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343</w:t>
            </w:r>
            <w:r>
              <w:rPr>
                <w:rFonts w:cs="Calibri"/>
                <w:b/>
              </w:rPr>
              <w:t xml:space="preserve"> </w:t>
            </w:r>
            <w:r w:rsidRPr="008670B1">
              <w:rPr>
                <w:rFonts w:cs="Calibri"/>
                <w:b/>
              </w:rPr>
              <w:t>340,32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8670B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670B1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586</w:t>
            </w:r>
            <w:r>
              <w:rPr>
                <w:rFonts w:cs="Calibri"/>
                <w:b/>
              </w:rPr>
              <w:t> </w:t>
            </w:r>
            <w:r w:rsidRPr="008670B1">
              <w:rPr>
                <w:rFonts w:cs="Calibri"/>
                <w:b/>
              </w:rPr>
              <w:t>698</w:t>
            </w:r>
            <w:r>
              <w:rPr>
                <w:rFonts w:cs="Calibri"/>
                <w:b/>
              </w:rPr>
              <w:t xml:space="preserve"> </w:t>
            </w:r>
            <w:r w:rsidRPr="008670B1">
              <w:rPr>
                <w:rFonts w:cs="Calibri"/>
                <w:b/>
              </w:rPr>
              <w:t>041,54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C.II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</w:rPr>
              <w:t>Pozostałe zobowiązania krótkoterminowe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2 743 595 114,44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724DC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724DC1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724DC1">
              <w:rPr>
                <w:rFonts w:cs="Calibri"/>
              </w:rPr>
              <w:t>743</w:t>
            </w:r>
            <w:r>
              <w:rPr>
                <w:rFonts w:cs="Calibri"/>
              </w:rPr>
              <w:t> </w:t>
            </w:r>
            <w:r w:rsidRPr="00724DC1">
              <w:rPr>
                <w:rFonts w:cs="Calibri"/>
              </w:rPr>
              <w:t>660</w:t>
            </w:r>
            <w:r>
              <w:rPr>
                <w:rFonts w:cs="Calibri"/>
              </w:rPr>
              <w:t xml:space="preserve"> </w:t>
            </w:r>
            <w:r w:rsidRPr="00724DC1">
              <w:rPr>
                <w:rFonts w:cs="Calibri"/>
              </w:rPr>
              <w:t>673,81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724DC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24DC1">
              <w:rPr>
                <w:rFonts w:cs="Calibri"/>
              </w:rPr>
              <w:t>3</w:t>
            </w:r>
            <w:r>
              <w:rPr>
                <w:rFonts w:cs="Calibri"/>
              </w:rPr>
              <w:t> </w:t>
            </w:r>
            <w:r w:rsidRPr="00724DC1">
              <w:rPr>
                <w:rFonts w:cs="Calibri"/>
              </w:rPr>
              <w:t>187</w:t>
            </w:r>
            <w:r>
              <w:rPr>
                <w:rFonts w:cs="Calibri"/>
              </w:rPr>
              <w:t> </w:t>
            </w:r>
            <w:r w:rsidRPr="00724DC1">
              <w:rPr>
                <w:rFonts w:cs="Calibri"/>
              </w:rPr>
              <w:t>232</w:t>
            </w:r>
            <w:r>
              <w:rPr>
                <w:rFonts w:cs="Calibri"/>
              </w:rPr>
              <w:t xml:space="preserve"> </w:t>
            </w:r>
            <w:r w:rsidRPr="00724DC1">
              <w:rPr>
                <w:rFonts w:cs="Calibri"/>
              </w:rPr>
              <w:t>042,31</w:t>
            </w:r>
          </w:p>
        </w:tc>
      </w:tr>
      <w:tr w:rsidR="00AB2AD8" w:rsidRPr="002739A0" w:rsidTr="008364CA">
        <w:trPr>
          <w:trHeight w:val="978"/>
        </w:trPr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C.III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Rezerwy na zobowiązania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2 108 736 815,64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4F0DF2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4F0DF2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108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136</w:t>
            </w:r>
            <w:r>
              <w:rPr>
                <w:rFonts w:cs="Calibri"/>
              </w:rPr>
              <w:t xml:space="preserve"> </w:t>
            </w:r>
            <w:r w:rsidRPr="004F0DF2">
              <w:rPr>
                <w:rFonts w:cs="Calibri"/>
              </w:rPr>
              <w:t>015,55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4F0DF2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4F0DF2">
              <w:rPr>
                <w:rFonts w:cs="Calibri"/>
              </w:rPr>
              <w:t>2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361</w:t>
            </w:r>
            <w:r>
              <w:rPr>
                <w:rFonts w:cs="Calibri"/>
              </w:rPr>
              <w:t> </w:t>
            </w:r>
            <w:r w:rsidRPr="004F0DF2">
              <w:rPr>
                <w:rFonts w:cs="Calibri"/>
              </w:rPr>
              <w:t>995</w:t>
            </w:r>
            <w:r>
              <w:rPr>
                <w:rFonts w:cs="Calibri"/>
              </w:rPr>
              <w:t xml:space="preserve"> </w:t>
            </w:r>
            <w:r w:rsidRPr="004F0DF2">
              <w:rPr>
                <w:rFonts w:cs="Calibri"/>
              </w:rPr>
              <w:t>170,69</w:t>
            </w:r>
          </w:p>
        </w:tc>
      </w:tr>
      <w:tr w:rsidR="00AB2AD8" w:rsidRPr="002739A0" w:rsidTr="008364CA">
        <w:tc>
          <w:tcPr>
            <w:tcW w:w="922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 xml:space="preserve">D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  <w:b/>
              </w:rPr>
              <w:t>Rozliczenia międzyokresowe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AB2AD8" w:rsidRPr="002739A0" w:rsidRDefault="00AB2AD8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5 801 762 269,02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AB2AD8" w:rsidRPr="002739A0" w:rsidRDefault="006B41B3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6B41B3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 </w:t>
            </w:r>
            <w:r w:rsidRPr="006B41B3">
              <w:rPr>
                <w:rFonts w:cs="Calibri"/>
                <w:b/>
              </w:rPr>
              <w:t>801</w:t>
            </w:r>
            <w:r>
              <w:rPr>
                <w:rFonts w:cs="Calibri"/>
                <w:b/>
              </w:rPr>
              <w:t> </w:t>
            </w:r>
            <w:r w:rsidRPr="006B41B3">
              <w:rPr>
                <w:rFonts w:cs="Calibri"/>
                <w:b/>
              </w:rPr>
              <w:t>586</w:t>
            </w:r>
            <w:r>
              <w:rPr>
                <w:rFonts w:cs="Calibri"/>
                <w:b/>
              </w:rPr>
              <w:t xml:space="preserve"> </w:t>
            </w:r>
            <w:r w:rsidRPr="006B41B3">
              <w:rPr>
                <w:rFonts w:cs="Calibri"/>
                <w:b/>
              </w:rPr>
              <w:t>615,02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AB2AD8" w:rsidRPr="002739A0" w:rsidRDefault="002533F1" w:rsidP="00AB2AD8">
            <w:pPr>
              <w:tabs>
                <w:tab w:val="left" w:pos="212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533F1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2533F1">
              <w:rPr>
                <w:rFonts w:cs="Calibri"/>
                <w:b/>
              </w:rPr>
              <w:t>242</w:t>
            </w:r>
            <w:r>
              <w:rPr>
                <w:rFonts w:cs="Calibri"/>
                <w:b/>
              </w:rPr>
              <w:t> </w:t>
            </w:r>
            <w:r w:rsidRPr="002533F1">
              <w:rPr>
                <w:rFonts w:cs="Calibri"/>
                <w:b/>
              </w:rPr>
              <w:t>951</w:t>
            </w:r>
            <w:r>
              <w:rPr>
                <w:rFonts w:cs="Calibri"/>
                <w:b/>
              </w:rPr>
              <w:t xml:space="preserve"> </w:t>
            </w:r>
            <w:r w:rsidRPr="002533F1">
              <w:rPr>
                <w:rFonts w:cs="Calibri"/>
                <w:b/>
              </w:rPr>
              <w:t>461,97</w:t>
            </w:r>
          </w:p>
        </w:tc>
      </w:tr>
    </w:tbl>
    <w:p w:rsidR="004A703D" w:rsidRPr="002739A0" w:rsidRDefault="004A703D" w:rsidP="00717F41">
      <w:pPr>
        <w:numPr>
          <w:ilvl w:val="1"/>
          <w:numId w:val="11"/>
        </w:numPr>
        <w:spacing w:before="240"/>
        <w:ind w:left="992" w:hanging="567"/>
      </w:pPr>
      <w:r w:rsidRPr="002739A0">
        <w:t>Przekształcenie prawa użytkowania wieczystego gruntów zabudowanych na cele mieszkaniowe w prawo własności tych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Na mocy ustawy z dn. 20 lipca 2018 r. o przekształceniu prawa użytkowania wieczystego gruntów zabudowanych na cele mieszkaniowe w prawo w</w:t>
      </w:r>
      <w:r w:rsidR="003729E7">
        <w:rPr>
          <w:rFonts w:cs="Calibri"/>
          <w:lang w:eastAsia="en-US"/>
        </w:rPr>
        <w:t>łasności tych gruntów (Dz. U. z </w:t>
      </w:r>
      <w:r w:rsidR="003315C5">
        <w:rPr>
          <w:rFonts w:cs="Calibri"/>
          <w:lang w:eastAsia="en-US"/>
        </w:rPr>
        <w:t>2023 r. poz. 904</w:t>
      </w:r>
      <w:r w:rsidRPr="002739A0">
        <w:rPr>
          <w:rFonts w:cs="Calibri"/>
          <w:lang w:eastAsia="en-US"/>
        </w:rPr>
        <w:t>) prawo użytkowania wieczystego gruntów zabudowanych na cele mieszkaniowe przekształciło się w prawo w</w:t>
      </w:r>
      <w:r w:rsidR="003729E7">
        <w:rPr>
          <w:rFonts w:cs="Calibri"/>
          <w:lang w:eastAsia="en-US"/>
        </w:rPr>
        <w:t>łasności tych gruntów z dniem 1 </w:t>
      </w:r>
      <w:r w:rsidRPr="002739A0">
        <w:rPr>
          <w:rFonts w:cs="Calibri"/>
          <w:lang w:eastAsia="en-US"/>
        </w:rPr>
        <w:t>stycznia 2019</w:t>
      </w:r>
      <w:r w:rsidR="00E95A43" w:rsidRPr="002739A0">
        <w:rPr>
          <w:rFonts w:cs="Calibri"/>
          <w:lang w:eastAsia="en-US"/>
        </w:rPr>
        <w:t> </w:t>
      </w:r>
      <w:r w:rsidRPr="002739A0">
        <w:rPr>
          <w:rFonts w:cs="Calibri"/>
          <w:lang w:eastAsia="en-US"/>
        </w:rPr>
        <w:t xml:space="preserve">r. 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Z tytułu przekształcenia nowy właściciel gruntu ma obowiązek ponosić na rzecz dotychczasowego właściciela gruntu opłatę </w:t>
      </w:r>
      <w:proofErr w:type="spellStart"/>
      <w:r w:rsidRPr="002739A0">
        <w:rPr>
          <w:rFonts w:cs="Calibri"/>
          <w:lang w:eastAsia="en-US"/>
        </w:rPr>
        <w:t>przekształceniową</w:t>
      </w:r>
      <w:proofErr w:type="spellEnd"/>
      <w:r w:rsidRPr="002739A0">
        <w:rPr>
          <w:rFonts w:cs="Calibri"/>
          <w:lang w:eastAsia="en-US"/>
        </w:rPr>
        <w:t>. Przychody z opłat z tytułu przekształcenia prawa wieczystego użytkowania gruntów w prawo własności Miasto ujmuje w pozostałych przychodach operacyjnych jako zysk ze zbycia niefinansowych aktywów trwałych.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Uchwałą nr LXXV/2128/2018 Rady m.st. Warszawy z dn</w:t>
      </w:r>
      <w:r w:rsidR="003729E7">
        <w:rPr>
          <w:rFonts w:cs="Calibri"/>
          <w:lang w:eastAsia="en-US"/>
        </w:rPr>
        <w:t>ia 18 października 2018 r. oraz </w:t>
      </w:r>
      <w:r w:rsidRPr="002739A0">
        <w:rPr>
          <w:rFonts w:cs="Calibri"/>
          <w:lang w:eastAsia="en-US"/>
        </w:rPr>
        <w:t>Uchwałą nr VIII/161/2019 Rady m.st. Warszawy z dnia 21 lutego 2019 r. wyrażono zgodę na udzielenie 98 % bonifikaty osobom fizycznym będącym właścicielami budynków mieszkalnych jednorodzinnych lub lokali mieszkalnych lub spółdzielniom mieszkaniowym od opłaty jednorazowej, w tym dotyczącej stanowisk postojowych i garaży, o której mowa w art. 7 ust. 7 i 8 ustawy o przekształceniu prawa u</w:t>
      </w:r>
      <w:r w:rsidR="00443998">
        <w:rPr>
          <w:rFonts w:cs="Calibri"/>
          <w:lang w:eastAsia="en-US"/>
        </w:rPr>
        <w:t>żytkowania wieczystego gruntów.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>Wed</w:t>
      </w:r>
      <w:r w:rsidR="000B1703">
        <w:rPr>
          <w:rFonts w:cs="Calibri"/>
          <w:lang w:eastAsia="en-US"/>
        </w:rPr>
        <w:t>ług stanu na dzień 31 marca 2023</w:t>
      </w:r>
      <w:r w:rsidRPr="002739A0">
        <w:rPr>
          <w:rFonts w:cs="Calibri"/>
          <w:lang w:eastAsia="en-US"/>
        </w:rPr>
        <w:t xml:space="preserve"> r</w:t>
      </w:r>
      <w:r w:rsidR="00BC32FB" w:rsidRPr="002739A0">
        <w:rPr>
          <w:rFonts w:cs="Calibri"/>
          <w:lang w:eastAsia="en-US"/>
        </w:rPr>
        <w:t xml:space="preserve">. Urząd m.st. Warszawy wydał </w:t>
      </w:r>
      <w:r w:rsidR="000B1703" w:rsidRPr="000B1703">
        <w:rPr>
          <w:rFonts w:cs="Calibri"/>
          <w:lang w:eastAsia="en-US"/>
        </w:rPr>
        <w:t xml:space="preserve">487 957 </w:t>
      </w:r>
      <w:r w:rsidRPr="002739A0">
        <w:rPr>
          <w:rFonts w:cs="Calibri"/>
          <w:lang w:eastAsia="en-US"/>
        </w:rPr>
        <w:t xml:space="preserve">zaświadczeń potwierdzających przekształcenie prawa użytkowania wieczystego w </w:t>
      </w:r>
      <w:r w:rsidR="00BC32FB" w:rsidRPr="002739A0">
        <w:rPr>
          <w:rFonts w:cs="Calibri"/>
          <w:lang w:eastAsia="en-US"/>
        </w:rPr>
        <w:t xml:space="preserve">prawo własności, co stanowi </w:t>
      </w:r>
      <w:r w:rsidR="000B1703" w:rsidRPr="000B1703">
        <w:rPr>
          <w:rFonts w:cs="Calibri"/>
          <w:lang w:eastAsia="en-US"/>
        </w:rPr>
        <w:t xml:space="preserve">97,70% </w:t>
      </w:r>
      <w:r w:rsidRPr="002739A0">
        <w:rPr>
          <w:rFonts w:cs="Calibri"/>
          <w:lang w:eastAsia="en-US"/>
        </w:rPr>
        <w:t>szacowanej liczby wszystkich zaświadczeń do wydania.</w:t>
      </w:r>
    </w:p>
    <w:p w:rsidR="00C80F49" w:rsidRPr="002739A0" w:rsidRDefault="00C80F49" w:rsidP="00E95A43">
      <w:pPr>
        <w:ind w:left="993"/>
        <w:contextualSpacing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Ww. liczba zaświadczeń dotyczy nieruchomości stanowiących dotychczas własność: </w:t>
      </w:r>
    </w:p>
    <w:p w:rsidR="00C80F49" w:rsidRPr="002739A0" w:rsidRDefault="00D00D8B" w:rsidP="000B170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 xml:space="preserve">m.st. Warszawy (wydano </w:t>
      </w:r>
      <w:r w:rsidR="000B1703" w:rsidRPr="000B1703">
        <w:rPr>
          <w:rFonts w:cs="Calibri"/>
        </w:rPr>
        <w:t xml:space="preserve">395 015 </w:t>
      </w:r>
      <w:r w:rsidR="000B1703">
        <w:rPr>
          <w:rFonts w:cs="Calibri"/>
        </w:rPr>
        <w:t>zaświadczeń, co stanowi 97,34</w:t>
      </w:r>
      <w:r w:rsidR="00C80F49" w:rsidRPr="002739A0">
        <w:rPr>
          <w:rFonts w:cs="Calibri"/>
        </w:rPr>
        <w:t>% szacowanej liczby zaświadczeń do wydania w odniesieniu do tych gruntów),</w:t>
      </w:r>
    </w:p>
    <w:p w:rsidR="00C80F49" w:rsidRPr="002739A0" w:rsidRDefault="00C80F49" w:rsidP="00E95A43">
      <w:pPr>
        <w:numPr>
          <w:ilvl w:val="0"/>
          <w:numId w:val="10"/>
        </w:numPr>
        <w:tabs>
          <w:tab w:val="left" w:pos="1418"/>
        </w:tabs>
        <w:ind w:left="1418" w:hanging="425"/>
        <w:contextualSpacing/>
        <w:rPr>
          <w:rFonts w:cs="Calibri"/>
        </w:rPr>
      </w:pPr>
      <w:r w:rsidRPr="002739A0">
        <w:rPr>
          <w:rFonts w:cs="Calibri"/>
        </w:rPr>
        <w:t>Skarbu Państwa, co do których organem reprezentującym jest Prezyde</w:t>
      </w:r>
      <w:r w:rsidR="00D45200">
        <w:rPr>
          <w:rFonts w:cs="Calibri"/>
        </w:rPr>
        <w:t>nt m.st. Warszawy (wydano 92 942 zaświadczenia, co stanowi 99,27</w:t>
      </w:r>
      <w:r w:rsidRPr="002739A0">
        <w:rPr>
          <w:rFonts w:cs="Calibri"/>
        </w:rPr>
        <w:t>% szacowanej liczby zaświadczeń do wydania w odniesieniu do tych gruntów).</w:t>
      </w:r>
    </w:p>
    <w:p w:rsidR="000C5BE9" w:rsidRPr="002739A0" w:rsidRDefault="00C80F49" w:rsidP="00E95A43">
      <w:pPr>
        <w:ind w:left="993"/>
        <w:rPr>
          <w:rFonts w:cs="Calibri"/>
          <w:lang w:eastAsia="en-US"/>
        </w:rPr>
      </w:pPr>
      <w:r w:rsidRPr="002739A0">
        <w:rPr>
          <w:rFonts w:cs="Calibri"/>
          <w:lang w:eastAsia="en-US"/>
        </w:rPr>
        <w:t xml:space="preserve">Na dzień wydania ww. zaświadczeń Miasto zaprzestaje ujmowania w księgach rachunkowych gruntów spełniających warunki określone w ustawie. Wartość netto tych gruntów odnoszona jest na fundusz jednostki. </w:t>
      </w:r>
    </w:p>
    <w:p w:rsidR="007168D8" w:rsidRPr="002739A0" w:rsidRDefault="00410F5E" w:rsidP="00DD70EA">
      <w:pPr>
        <w:numPr>
          <w:ilvl w:val="1"/>
          <w:numId w:val="11"/>
        </w:numPr>
        <w:ind w:left="992" w:hanging="567"/>
      </w:pPr>
      <w:r w:rsidRPr="002739A0">
        <w:t>Dodatkowe informacje i objaśnienia do skonsolidowanego bilansu m.st. Warszawy.</w:t>
      </w:r>
    </w:p>
    <w:p w:rsidR="0038528E" w:rsidRPr="002739A0" w:rsidRDefault="0038528E" w:rsidP="00DD70EA">
      <w:pPr>
        <w:numPr>
          <w:ilvl w:val="2"/>
          <w:numId w:val="11"/>
        </w:numPr>
        <w:tabs>
          <w:tab w:val="left" w:pos="1701"/>
        </w:tabs>
        <w:ind w:hanging="232"/>
      </w:pPr>
      <w:r w:rsidRPr="002739A0">
        <w:t>Rozliczenia międzyokresowe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ozliczenia międzyokresowe"/>
      </w:tblPr>
      <w:tblGrid>
        <w:gridCol w:w="3397"/>
        <w:gridCol w:w="2127"/>
        <w:gridCol w:w="1842"/>
        <w:gridCol w:w="1843"/>
      </w:tblGrid>
      <w:tr w:rsidR="00F2041F" w:rsidRPr="002739A0" w:rsidTr="00CD10CB">
        <w:trPr>
          <w:trHeight w:val="251"/>
          <w:tblHeader/>
        </w:trPr>
        <w:tc>
          <w:tcPr>
            <w:tcW w:w="3397" w:type="dxa"/>
            <w:shd w:val="clear" w:color="auto" w:fill="auto"/>
          </w:tcPr>
          <w:p w:rsidR="00F2041F" w:rsidRPr="002739A0" w:rsidRDefault="00F2041F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2127" w:type="dxa"/>
            <w:shd w:val="clear" w:color="auto" w:fill="auto"/>
          </w:tcPr>
          <w:p w:rsidR="00F2041F" w:rsidRPr="002739A0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>
              <w:rPr>
                <w:rFonts w:cs="Calibri"/>
                <w:b/>
              </w:rPr>
              <w:t>1</w:t>
            </w:r>
            <w:r w:rsidR="00F2041F" w:rsidRPr="002739A0">
              <w:rPr>
                <w:rFonts w:cs="Calibri"/>
                <w:b/>
              </w:rPr>
              <w:t>r.</w:t>
            </w:r>
          </w:p>
          <w:p w:rsidR="00F2041F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</w:t>
            </w:r>
            <w:r w:rsidR="00F2041F" w:rsidRPr="002739A0">
              <w:rPr>
                <w:rFonts w:cs="Calibri"/>
                <w:b/>
              </w:rPr>
              <w:t>ł</w:t>
            </w:r>
          </w:p>
          <w:p w:rsidR="00ED1878" w:rsidRPr="002739A0" w:rsidRDefault="00ED1878" w:rsidP="0094315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</w:t>
            </w:r>
            <w:r w:rsidRPr="002739A0">
              <w:rPr>
                <w:rFonts w:cs="Calibri"/>
                <w:b/>
              </w:rPr>
              <w:t>ane porównawcze</w:t>
            </w:r>
          </w:p>
        </w:tc>
        <w:tc>
          <w:tcPr>
            <w:tcW w:w="1842" w:type="dxa"/>
            <w:shd w:val="clear" w:color="auto" w:fill="auto"/>
          </w:tcPr>
          <w:p w:rsidR="00F2041F" w:rsidRPr="002739A0" w:rsidRDefault="00D01ECD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F2041F" w:rsidRPr="002739A0">
              <w:rPr>
                <w:rFonts w:cs="Calibri"/>
                <w:b/>
              </w:rPr>
              <w:t xml:space="preserve"> r.</w:t>
            </w:r>
          </w:p>
          <w:p w:rsidR="00F2041F" w:rsidRPr="002739A0" w:rsidRDefault="00F2041F" w:rsidP="00B0549F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D01ECD">
              <w:rPr>
                <w:rFonts w:cs="Calibri"/>
                <w:b/>
              </w:rPr>
              <w:t>2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F2041F" w:rsidRPr="002739A0" w:rsidRDefault="00F2041F" w:rsidP="00F2041F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F2041F" w:rsidRPr="002739A0" w:rsidRDefault="00F2041F" w:rsidP="00B0549F">
            <w:pPr>
              <w:tabs>
                <w:tab w:val="left" w:pos="212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D01ECD" w:rsidRPr="002739A0" w:rsidTr="00CD10CB">
        <w:trPr>
          <w:trHeight w:val="342"/>
        </w:trPr>
        <w:tc>
          <w:tcPr>
            <w:tcW w:w="3397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Aktywa z tytułu odroczonego podatku dochodowego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145 499 103,45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1ECD" w:rsidRPr="002739A0" w:rsidRDefault="003F22C5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F22C5">
              <w:rPr>
                <w:rFonts w:cs="Calibri"/>
              </w:rPr>
              <w:t>145</w:t>
            </w:r>
            <w:r>
              <w:rPr>
                <w:rFonts w:cs="Calibri"/>
              </w:rPr>
              <w:t> </w:t>
            </w:r>
            <w:r w:rsidRPr="003F22C5">
              <w:rPr>
                <w:rFonts w:cs="Calibri"/>
              </w:rPr>
              <w:t>499</w:t>
            </w:r>
            <w:r>
              <w:rPr>
                <w:rFonts w:cs="Calibri"/>
              </w:rPr>
              <w:t xml:space="preserve"> </w:t>
            </w:r>
            <w:r w:rsidRPr="003F22C5">
              <w:rPr>
                <w:rFonts w:cs="Calibri"/>
              </w:rPr>
              <w:t>103,45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ECD" w:rsidRPr="002739A0" w:rsidRDefault="00C659D6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659D6">
              <w:rPr>
                <w:rFonts w:cs="Calibri"/>
              </w:rPr>
              <w:t>142</w:t>
            </w:r>
            <w:r>
              <w:rPr>
                <w:rFonts w:cs="Calibri"/>
              </w:rPr>
              <w:t> </w:t>
            </w:r>
            <w:r w:rsidRPr="00C659D6">
              <w:rPr>
                <w:rFonts w:cs="Calibri"/>
              </w:rPr>
              <w:t>823</w:t>
            </w:r>
            <w:r>
              <w:rPr>
                <w:rFonts w:cs="Calibri"/>
              </w:rPr>
              <w:t xml:space="preserve"> </w:t>
            </w:r>
            <w:r w:rsidRPr="00C659D6">
              <w:rPr>
                <w:rFonts w:cs="Calibri"/>
              </w:rPr>
              <w:t>881,32</w:t>
            </w:r>
          </w:p>
        </w:tc>
      </w:tr>
      <w:tr w:rsidR="00D01ECD" w:rsidRPr="002739A0" w:rsidTr="00CD10CB">
        <w:trPr>
          <w:trHeight w:val="340"/>
        </w:trPr>
        <w:tc>
          <w:tcPr>
            <w:tcW w:w="3397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długoterminowe rozliczenia międzyokresowe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57 751 694,94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1ECD" w:rsidRPr="002739A0" w:rsidRDefault="003F22C5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3F22C5">
              <w:rPr>
                <w:rFonts w:cs="Calibri"/>
              </w:rPr>
              <w:t>58</w:t>
            </w:r>
            <w:r>
              <w:rPr>
                <w:rFonts w:cs="Calibri"/>
              </w:rPr>
              <w:t> </w:t>
            </w:r>
            <w:r w:rsidRPr="003F22C5">
              <w:rPr>
                <w:rFonts w:cs="Calibri"/>
              </w:rPr>
              <w:t>147</w:t>
            </w:r>
            <w:r>
              <w:rPr>
                <w:rFonts w:cs="Calibri"/>
              </w:rPr>
              <w:t xml:space="preserve"> </w:t>
            </w:r>
            <w:r w:rsidRPr="003F22C5">
              <w:rPr>
                <w:rFonts w:cs="Calibri"/>
              </w:rPr>
              <w:t>536,63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ECD" w:rsidRPr="002739A0" w:rsidRDefault="00C659D6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659D6">
              <w:rPr>
                <w:rFonts w:cs="Calibri"/>
              </w:rPr>
              <w:t>66</w:t>
            </w:r>
            <w:r>
              <w:rPr>
                <w:rFonts w:cs="Calibri"/>
              </w:rPr>
              <w:t> </w:t>
            </w:r>
            <w:r w:rsidRPr="00C659D6">
              <w:rPr>
                <w:rFonts w:cs="Calibri"/>
              </w:rPr>
              <w:t>306</w:t>
            </w:r>
            <w:r>
              <w:rPr>
                <w:rFonts w:cs="Calibri"/>
              </w:rPr>
              <w:t xml:space="preserve"> </w:t>
            </w:r>
            <w:r w:rsidRPr="00C659D6">
              <w:rPr>
                <w:rFonts w:cs="Calibri"/>
              </w:rPr>
              <w:t>277,5</w:t>
            </w:r>
            <w:r>
              <w:rPr>
                <w:rFonts w:cs="Calibri"/>
              </w:rPr>
              <w:t>0</w:t>
            </w:r>
          </w:p>
        </w:tc>
      </w:tr>
      <w:tr w:rsidR="00D01ECD" w:rsidRPr="002739A0" w:rsidTr="00CD10CB">
        <w:trPr>
          <w:trHeight w:val="365"/>
        </w:trPr>
        <w:tc>
          <w:tcPr>
            <w:tcW w:w="3397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Krótkoterminowe rozliczenia międzyokresowe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ECD" w:rsidRPr="002739A0" w:rsidRDefault="00D01ECD" w:rsidP="00D01ECD">
            <w:pPr>
              <w:jc w:val="right"/>
            </w:pPr>
            <w:r w:rsidRPr="002739A0">
              <w:t>148 137 204,32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1ECD" w:rsidRPr="002739A0" w:rsidRDefault="003F22C5" w:rsidP="00D01ECD">
            <w:pPr>
              <w:jc w:val="right"/>
            </w:pPr>
            <w:r w:rsidRPr="003F22C5">
              <w:rPr>
                <w:rFonts w:cs="Calibri"/>
              </w:rPr>
              <w:t>147</w:t>
            </w:r>
            <w:r>
              <w:rPr>
                <w:rFonts w:cs="Calibri"/>
              </w:rPr>
              <w:t> </w:t>
            </w:r>
            <w:r w:rsidRPr="003F22C5">
              <w:rPr>
                <w:rFonts w:cs="Calibri"/>
              </w:rPr>
              <w:t>906</w:t>
            </w:r>
            <w:r>
              <w:rPr>
                <w:rFonts w:cs="Calibri"/>
              </w:rPr>
              <w:t xml:space="preserve"> </w:t>
            </w:r>
            <w:r w:rsidRPr="003F22C5">
              <w:rPr>
                <w:rFonts w:cs="Calibri"/>
              </w:rPr>
              <w:t>561,33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ECD" w:rsidRPr="002739A0" w:rsidRDefault="00C659D6" w:rsidP="00D01ECD">
            <w:pPr>
              <w:jc w:val="right"/>
            </w:pPr>
            <w:r w:rsidRPr="00C659D6">
              <w:t>180</w:t>
            </w:r>
            <w:r>
              <w:t> </w:t>
            </w:r>
            <w:r w:rsidRPr="00C659D6">
              <w:t>954</w:t>
            </w:r>
            <w:r>
              <w:t xml:space="preserve"> </w:t>
            </w:r>
            <w:r w:rsidRPr="00C659D6">
              <w:t>595,55</w:t>
            </w:r>
          </w:p>
        </w:tc>
      </w:tr>
      <w:tr w:rsidR="00D01ECD" w:rsidRPr="002739A0" w:rsidTr="00CD10CB">
        <w:trPr>
          <w:trHeight w:val="240"/>
        </w:trPr>
        <w:tc>
          <w:tcPr>
            <w:tcW w:w="3397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351 388 002,71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01ECD" w:rsidRPr="002739A0" w:rsidRDefault="00ED1878" w:rsidP="00ED1878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ED1878">
              <w:rPr>
                <w:rFonts w:cs="Calibri"/>
                <w:b/>
              </w:rPr>
              <w:t>351 553 201,41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01ECD" w:rsidRPr="002739A0" w:rsidRDefault="000C7C42" w:rsidP="00D01ECD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0C7C42">
              <w:rPr>
                <w:rFonts w:cs="Calibri"/>
                <w:b/>
              </w:rPr>
              <w:t>390</w:t>
            </w:r>
            <w:r>
              <w:rPr>
                <w:rFonts w:cs="Calibri"/>
                <w:b/>
              </w:rPr>
              <w:t> </w:t>
            </w:r>
            <w:r w:rsidRPr="000C7C42">
              <w:rPr>
                <w:rFonts w:cs="Calibri"/>
                <w:b/>
              </w:rPr>
              <w:t>084</w:t>
            </w:r>
            <w:r>
              <w:rPr>
                <w:rFonts w:cs="Calibri"/>
                <w:b/>
              </w:rPr>
              <w:t xml:space="preserve"> </w:t>
            </w:r>
            <w:r w:rsidRPr="000C7C42">
              <w:rPr>
                <w:rFonts w:cs="Calibri"/>
                <w:b/>
              </w:rPr>
              <w:t>754,37</w:t>
            </w:r>
          </w:p>
        </w:tc>
      </w:tr>
    </w:tbl>
    <w:p w:rsidR="00695E53" w:rsidRPr="002739A0" w:rsidRDefault="00695E53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Zobowiązania finansowe długoterminowe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Zobowiązania finansowe długoterminowe"/>
      </w:tblPr>
      <w:tblGrid>
        <w:gridCol w:w="5524"/>
        <w:gridCol w:w="1842"/>
        <w:gridCol w:w="1843"/>
      </w:tblGrid>
      <w:tr w:rsidR="00A32973" w:rsidRPr="002739A0" w:rsidTr="00CD10CB">
        <w:trPr>
          <w:tblHeader/>
        </w:trPr>
        <w:tc>
          <w:tcPr>
            <w:tcW w:w="5524" w:type="dxa"/>
            <w:shd w:val="clear" w:color="auto" w:fill="auto"/>
          </w:tcPr>
          <w:p w:rsidR="00A32973" w:rsidRPr="002739A0" w:rsidRDefault="00A32973" w:rsidP="008140AD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2" w:type="dxa"/>
            <w:shd w:val="clear" w:color="auto" w:fill="auto"/>
          </w:tcPr>
          <w:p w:rsidR="00A32973" w:rsidRPr="002739A0" w:rsidRDefault="00D01ECD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A32973" w:rsidRPr="002739A0">
              <w:rPr>
                <w:rFonts w:cs="Calibri"/>
                <w:b/>
              </w:rPr>
              <w:t xml:space="preserve"> r.</w:t>
            </w:r>
          </w:p>
          <w:p w:rsidR="00A32973" w:rsidRPr="002739A0" w:rsidRDefault="00A32973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  <w:tc>
          <w:tcPr>
            <w:tcW w:w="1843" w:type="dxa"/>
            <w:shd w:val="clear" w:color="auto" w:fill="auto"/>
          </w:tcPr>
          <w:p w:rsidR="00A32973" w:rsidRPr="002739A0" w:rsidRDefault="00D01ECD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31.12.2022</w:t>
            </w:r>
            <w:r w:rsidR="00A32973" w:rsidRPr="002739A0">
              <w:rPr>
                <w:rFonts w:cs="Calibri"/>
                <w:b/>
              </w:rPr>
              <w:t xml:space="preserve"> r.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A32973" w:rsidRPr="002739A0" w:rsidRDefault="00A32973" w:rsidP="008140AD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</w:p>
        </w:tc>
      </w:tr>
      <w:tr w:rsidR="00D01ECD" w:rsidRPr="002739A0" w:rsidTr="00CD10CB"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Obligacje wyemitowane przez m.st. Warszawa</w:t>
            </w:r>
          </w:p>
        </w:tc>
        <w:tc>
          <w:tcPr>
            <w:tcW w:w="1842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501 206 626,24</w:t>
            </w:r>
          </w:p>
        </w:tc>
        <w:tc>
          <w:tcPr>
            <w:tcW w:w="1843" w:type="dxa"/>
            <w:shd w:val="clear" w:color="auto" w:fill="auto"/>
          </w:tcPr>
          <w:p w:rsidR="00D01ECD" w:rsidRPr="002739A0" w:rsidRDefault="00AE0039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E0039">
              <w:rPr>
                <w:rFonts w:cs="Calibri"/>
              </w:rPr>
              <w:t>501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676</w:t>
            </w:r>
            <w:r>
              <w:rPr>
                <w:rFonts w:cs="Calibri"/>
              </w:rPr>
              <w:t xml:space="preserve"> </w:t>
            </w:r>
            <w:r w:rsidRPr="00AE0039">
              <w:rPr>
                <w:rFonts w:cs="Calibri"/>
              </w:rPr>
              <w:t>354,73</w:t>
            </w:r>
          </w:p>
        </w:tc>
      </w:tr>
      <w:tr w:rsidR="00D01ECD" w:rsidRPr="002739A0" w:rsidTr="00CD10CB"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1842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4 723 816 043,21</w:t>
            </w:r>
          </w:p>
        </w:tc>
        <w:tc>
          <w:tcPr>
            <w:tcW w:w="1843" w:type="dxa"/>
            <w:shd w:val="clear" w:color="auto" w:fill="auto"/>
          </w:tcPr>
          <w:p w:rsidR="00D01ECD" w:rsidRPr="002739A0" w:rsidRDefault="00AE0039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E0039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472</w:t>
            </w:r>
            <w:r>
              <w:rPr>
                <w:rFonts w:cs="Calibri"/>
              </w:rPr>
              <w:t> </w:t>
            </w:r>
            <w:r w:rsidRPr="00AE0039">
              <w:rPr>
                <w:rFonts w:cs="Calibri"/>
              </w:rPr>
              <w:t>100</w:t>
            </w:r>
            <w:r>
              <w:rPr>
                <w:rFonts w:cs="Calibri"/>
              </w:rPr>
              <w:t xml:space="preserve"> </w:t>
            </w:r>
            <w:r w:rsidRPr="00AE0039">
              <w:rPr>
                <w:rFonts w:cs="Calibri"/>
              </w:rPr>
              <w:t>170,91</w:t>
            </w:r>
          </w:p>
        </w:tc>
      </w:tr>
      <w:tr w:rsidR="00D01ECD" w:rsidRPr="002739A0" w:rsidTr="00CD10CB"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podmiotów zależnych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1 176 755 180,39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01ECD" w:rsidRPr="002739A0" w:rsidRDefault="000C7C42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0C7C42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0C7C42">
              <w:rPr>
                <w:rFonts w:cs="Calibri"/>
              </w:rPr>
              <w:t>532</w:t>
            </w:r>
            <w:r>
              <w:rPr>
                <w:rFonts w:cs="Calibri"/>
              </w:rPr>
              <w:t> </w:t>
            </w:r>
            <w:r w:rsidRPr="000C7C42">
              <w:rPr>
                <w:rFonts w:cs="Calibri"/>
              </w:rPr>
              <w:t>995</w:t>
            </w:r>
            <w:r>
              <w:rPr>
                <w:rFonts w:cs="Calibri"/>
              </w:rPr>
              <w:t xml:space="preserve"> </w:t>
            </w:r>
            <w:r w:rsidRPr="000C7C42">
              <w:rPr>
                <w:rFonts w:cs="Calibri"/>
              </w:rPr>
              <w:t>040,21</w:t>
            </w:r>
          </w:p>
        </w:tc>
      </w:tr>
      <w:tr w:rsidR="00D01ECD" w:rsidRPr="002739A0" w:rsidTr="00CD10CB"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1842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331 244 158,68</w:t>
            </w:r>
          </w:p>
        </w:tc>
        <w:tc>
          <w:tcPr>
            <w:tcW w:w="1843" w:type="dxa"/>
            <w:shd w:val="clear" w:color="auto" w:fill="auto"/>
          </w:tcPr>
          <w:p w:rsidR="00B42192" w:rsidRPr="00B42192" w:rsidRDefault="00B42192" w:rsidP="00B42192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B42192">
              <w:rPr>
                <w:rFonts w:cs="Calibri"/>
              </w:rPr>
              <w:t>585 900 681,48</w:t>
            </w:r>
          </w:p>
          <w:p w:rsidR="00D01ECD" w:rsidRPr="002739A0" w:rsidRDefault="00D01ECD" w:rsidP="00B42192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</w:p>
        </w:tc>
      </w:tr>
      <w:tr w:rsidR="00D01ECD" w:rsidRPr="002739A0" w:rsidTr="00CD10CB"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długoterminowe</w:t>
            </w:r>
          </w:p>
        </w:tc>
        <w:tc>
          <w:tcPr>
            <w:tcW w:w="1842" w:type="dxa"/>
            <w:shd w:val="clear" w:color="auto" w:fill="auto"/>
          </w:tcPr>
          <w:p w:rsidR="00D01ECD" w:rsidRPr="002739A0" w:rsidRDefault="00D01ECD" w:rsidP="00D01ECD">
            <w:pPr>
              <w:spacing w:after="0" w:line="240" w:lineRule="auto"/>
              <w:jc w:val="right"/>
            </w:pPr>
            <w:r w:rsidRPr="002739A0">
              <w:t>107 188 951,42</w:t>
            </w:r>
          </w:p>
        </w:tc>
        <w:tc>
          <w:tcPr>
            <w:tcW w:w="1843" w:type="dxa"/>
            <w:shd w:val="clear" w:color="auto" w:fill="auto"/>
          </w:tcPr>
          <w:p w:rsidR="00D01ECD" w:rsidRPr="002739A0" w:rsidRDefault="00B42192" w:rsidP="00D01ECD">
            <w:pPr>
              <w:spacing w:after="0" w:line="240" w:lineRule="auto"/>
              <w:jc w:val="right"/>
            </w:pPr>
            <w:r w:rsidRPr="00B42192">
              <w:t>80</w:t>
            </w:r>
            <w:r>
              <w:t> </w:t>
            </w:r>
            <w:r w:rsidRPr="00B42192">
              <w:t>554</w:t>
            </w:r>
            <w:r>
              <w:t xml:space="preserve"> </w:t>
            </w:r>
            <w:r w:rsidRPr="00B42192">
              <w:t>285,65</w:t>
            </w:r>
          </w:p>
        </w:tc>
      </w:tr>
      <w:tr w:rsidR="00D01ECD" w:rsidRPr="002739A0" w:rsidTr="00CD10CB">
        <w:trPr>
          <w:trHeight w:val="322"/>
        </w:trPr>
        <w:tc>
          <w:tcPr>
            <w:tcW w:w="5524" w:type="dxa"/>
            <w:shd w:val="clear" w:color="auto" w:fill="auto"/>
          </w:tcPr>
          <w:p w:rsidR="00D01ECD" w:rsidRPr="002739A0" w:rsidRDefault="00D01ECD" w:rsidP="00D01ECD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D01ECD" w:rsidRPr="002739A0" w:rsidRDefault="00D01ECD" w:rsidP="00D01ECD">
            <w:pPr>
              <w:spacing w:after="0" w:line="240" w:lineRule="auto"/>
              <w:jc w:val="right"/>
              <w:rPr>
                <w:b/>
              </w:rPr>
            </w:pPr>
            <w:r w:rsidRPr="002739A0">
              <w:rPr>
                <w:b/>
              </w:rPr>
              <w:t>6 840 210 959,94</w:t>
            </w:r>
          </w:p>
        </w:tc>
        <w:tc>
          <w:tcPr>
            <w:tcW w:w="1843" w:type="dxa"/>
            <w:shd w:val="clear" w:color="auto" w:fill="auto"/>
          </w:tcPr>
          <w:p w:rsidR="00D01ECD" w:rsidRPr="002739A0" w:rsidRDefault="000C7C42" w:rsidP="00D01ECD">
            <w:pPr>
              <w:spacing w:after="0" w:line="240" w:lineRule="auto"/>
              <w:jc w:val="right"/>
              <w:rPr>
                <w:b/>
              </w:rPr>
            </w:pPr>
            <w:r w:rsidRPr="000C7C42">
              <w:rPr>
                <w:b/>
              </w:rPr>
              <w:t>7</w:t>
            </w:r>
            <w:r>
              <w:rPr>
                <w:b/>
              </w:rPr>
              <w:t> </w:t>
            </w:r>
            <w:r w:rsidRPr="000C7C42">
              <w:rPr>
                <w:b/>
              </w:rPr>
              <w:t>173</w:t>
            </w:r>
            <w:r>
              <w:rPr>
                <w:b/>
              </w:rPr>
              <w:t> </w:t>
            </w:r>
            <w:r w:rsidRPr="000C7C42">
              <w:rPr>
                <w:b/>
              </w:rPr>
              <w:t>226</w:t>
            </w:r>
            <w:r>
              <w:rPr>
                <w:b/>
              </w:rPr>
              <w:t xml:space="preserve"> </w:t>
            </w:r>
            <w:r w:rsidRPr="000C7C42">
              <w:rPr>
                <w:b/>
              </w:rPr>
              <w:t>532,98</w:t>
            </w:r>
          </w:p>
        </w:tc>
      </w:tr>
    </w:tbl>
    <w:p w:rsidR="003D7ECE" w:rsidRPr="002739A0" w:rsidRDefault="003D7ECE" w:rsidP="00943150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 xml:space="preserve">Zobowiązania finansowe </w:t>
      </w:r>
      <w:r w:rsidR="00565993" w:rsidRPr="002739A0">
        <w:t>krótkoterminowe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Zobowiązania finansowe krótkoterminowe"/>
      </w:tblPr>
      <w:tblGrid>
        <w:gridCol w:w="5524"/>
        <w:gridCol w:w="1842"/>
        <w:gridCol w:w="1843"/>
      </w:tblGrid>
      <w:tr w:rsidR="00A32973" w:rsidRPr="002739A0" w:rsidTr="00637798">
        <w:trPr>
          <w:trHeight w:val="688"/>
          <w:tblHeader/>
        </w:trPr>
        <w:tc>
          <w:tcPr>
            <w:tcW w:w="5524" w:type="dxa"/>
            <w:shd w:val="clear" w:color="auto" w:fill="auto"/>
          </w:tcPr>
          <w:p w:rsidR="00A32973" w:rsidRPr="002739A0" w:rsidRDefault="00A32973" w:rsidP="003A2CD1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2" w:type="dxa"/>
            <w:shd w:val="clear" w:color="auto" w:fill="auto"/>
          </w:tcPr>
          <w:p w:rsidR="00A32973" w:rsidRPr="002739A0" w:rsidRDefault="000B0EC1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A32973" w:rsidRPr="002739A0">
              <w:rPr>
                <w:rFonts w:cs="Calibri"/>
                <w:b/>
              </w:rPr>
              <w:t xml:space="preserve"> r.</w:t>
            </w:r>
          </w:p>
          <w:p w:rsidR="00A32973" w:rsidRPr="002739A0" w:rsidRDefault="00A32973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  <w:tc>
          <w:tcPr>
            <w:tcW w:w="1843" w:type="dxa"/>
            <w:shd w:val="clear" w:color="auto" w:fill="auto"/>
          </w:tcPr>
          <w:p w:rsidR="00A32973" w:rsidRPr="002739A0" w:rsidRDefault="000B0EC1" w:rsidP="003A2CD1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31.12.2022</w:t>
            </w:r>
            <w:r w:rsidR="00A32973" w:rsidRPr="002739A0">
              <w:rPr>
                <w:rFonts w:cs="Calibri"/>
                <w:b/>
              </w:rPr>
              <w:t xml:space="preserve"> r. </w:t>
            </w:r>
          </w:p>
          <w:p w:rsidR="00A32973" w:rsidRPr="002739A0" w:rsidRDefault="00A32973" w:rsidP="00F00990">
            <w:pPr>
              <w:tabs>
                <w:tab w:val="left" w:pos="567"/>
              </w:tabs>
              <w:spacing w:after="0"/>
              <w:contextualSpacing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0B0EC1" w:rsidRPr="002739A0" w:rsidTr="00637798">
        <w:tc>
          <w:tcPr>
            <w:tcW w:w="5524" w:type="dxa"/>
            <w:shd w:val="clear" w:color="auto" w:fill="auto"/>
          </w:tcPr>
          <w:p w:rsidR="000B0EC1" w:rsidRPr="002739A0" w:rsidRDefault="000B0EC1" w:rsidP="000B0EC1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Obligacje wyemitowane przez m.st. Warszawa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B0EC1" w:rsidRPr="002739A0" w:rsidRDefault="000B0EC1" w:rsidP="000B0EC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458 121 196,83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B0EC1" w:rsidRPr="002739A0" w:rsidRDefault="00C52188" w:rsidP="000B0EC1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>
              <w:rPr>
                <w:rFonts w:cs="Calibri"/>
              </w:rPr>
              <w:t>0,00</w:t>
            </w:r>
          </w:p>
        </w:tc>
      </w:tr>
      <w:tr w:rsidR="00142809" w:rsidRPr="002739A0" w:rsidTr="00637798">
        <w:tc>
          <w:tcPr>
            <w:tcW w:w="5524" w:type="dxa"/>
            <w:shd w:val="clear" w:color="auto" w:fill="auto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 – zobowiązania m.st. Warszawy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140 212 307,76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809" w:rsidRPr="002739A0" w:rsidRDefault="00C52188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C52188">
              <w:rPr>
                <w:rFonts w:cs="Calibri"/>
              </w:rPr>
              <w:t>308</w:t>
            </w:r>
            <w:r>
              <w:rPr>
                <w:rFonts w:cs="Calibri"/>
              </w:rPr>
              <w:t> </w:t>
            </w:r>
            <w:r w:rsidRPr="00C52188">
              <w:rPr>
                <w:rFonts w:cs="Calibri"/>
              </w:rPr>
              <w:t>649</w:t>
            </w:r>
            <w:r>
              <w:rPr>
                <w:rFonts w:cs="Calibri"/>
              </w:rPr>
              <w:t xml:space="preserve"> </w:t>
            </w:r>
            <w:r w:rsidRPr="00C52188">
              <w:rPr>
                <w:rFonts w:cs="Calibri"/>
              </w:rPr>
              <w:t>102,77</w:t>
            </w:r>
          </w:p>
        </w:tc>
      </w:tr>
      <w:tr w:rsidR="00142809" w:rsidRPr="002739A0" w:rsidTr="00637798">
        <w:tc>
          <w:tcPr>
            <w:tcW w:w="5524" w:type="dxa"/>
            <w:shd w:val="clear" w:color="auto" w:fill="auto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Kredyty i pożyczki– zobowiązania podmiotów zależnych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197 291 272,98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809" w:rsidRPr="002739A0" w:rsidRDefault="00672658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672658">
              <w:rPr>
                <w:rFonts w:cs="Calibri"/>
              </w:rPr>
              <w:t>461</w:t>
            </w:r>
            <w:r>
              <w:rPr>
                <w:rFonts w:cs="Calibri"/>
              </w:rPr>
              <w:t> </w:t>
            </w:r>
            <w:r w:rsidRPr="00672658">
              <w:rPr>
                <w:rFonts w:cs="Calibri"/>
              </w:rPr>
              <w:t>862</w:t>
            </w:r>
            <w:r>
              <w:rPr>
                <w:rFonts w:cs="Calibri"/>
              </w:rPr>
              <w:t xml:space="preserve"> </w:t>
            </w:r>
            <w:r w:rsidRPr="00672658">
              <w:rPr>
                <w:rFonts w:cs="Calibri"/>
              </w:rPr>
              <w:t>888,95</w:t>
            </w:r>
          </w:p>
        </w:tc>
      </w:tr>
      <w:tr w:rsidR="00142809" w:rsidRPr="002739A0" w:rsidTr="00637798">
        <w:tc>
          <w:tcPr>
            <w:tcW w:w="5524" w:type="dxa"/>
            <w:shd w:val="clear" w:color="auto" w:fill="auto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Zobowiązania z tytułu emisji papierów wartościowych przez podmioty zależne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5 020 000,00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809" w:rsidRPr="002739A0" w:rsidRDefault="007A37C4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A37C4">
              <w:rPr>
                <w:rFonts w:cs="Calibri"/>
              </w:rPr>
              <w:t>19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430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000</w:t>
            </w:r>
            <w:r>
              <w:rPr>
                <w:rFonts w:cs="Calibri"/>
              </w:rPr>
              <w:t>,00</w:t>
            </w:r>
          </w:p>
        </w:tc>
      </w:tr>
      <w:tr w:rsidR="00142809" w:rsidRPr="002739A0" w:rsidTr="00637798">
        <w:tc>
          <w:tcPr>
            <w:tcW w:w="5524" w:type="dxa"/>
            <w:shd w:val="clear" w:color="auto" w:fill="auto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finansowe krótkoterminowe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33 435 093,56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809" w:rsidRPr="002739A0" w:rsidRDefault="007A37C4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A37C4">
              <w:rPr>
                <w:rFonts w:cs="Calibri"/>
              </w:rPr>
              <w:t>53</w:t>
            </w:r>
            <w:r>
              <w:rPr>
                <w:rFonts w:cs="Calibri"/>
              </w:rPr>
              <w:t> </w:t>
            </w:r>
            <w:r w:rsidRPr="007A37C4">
              <w:rPr>
                <w:rFonts w:cs="Calibri"/>
              </w:rPr>
              <w:t>988</w:t>
            </w:r>
            <w:r>
              <w:rPr>
                <w:rFonts w:cs="Calibri"/>
              </w:rPr>
              <w:t xml:space="preserve"> </w:t>
            </w:r>
            <w:r w:rsidRPr="007A37C4">
              <w:rPr>
                <w:rFonts w:cs="Calibri"/>
              </w:rPr>
              <w:t>339,98</w:t>
            </w:r>
          </w:p>
        </w:tc>
      </w:tr>
      <w:tr w:rsidR="00142809" w:rsidRPr="002739A0" w:rsidTr="00637798">
        <w:trPr>
          <w:trHeight w:val="285"/>
        </w:trPr>
        <w:tc>
          <w:tcPr>
            <w:tcW w:w="5524" w:type="dxa"/>
            <w:shd w:val="clear" w:color="auto" w:fill="auto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2809" w:rsidRPr="002739A0" w:rsidRDefault="00142809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834 079 871,13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809" w:rsidRPr="002739A0" w:rsidRDefault="00672658" w:rsidP="00142809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672658">
              <w:rPr>
                <w:rFonts w:cs="Calibri"/>
                <w:b/>
              </w:rPr>
              <w:t>843</w:t>
            </w:r>
            <w:r>
              <w:rPr>
                <w:rFonts w:cs="Calibri"/>
                <w:b/>
              </w:rPr>
              <w:t> </w:t>
            </w:r>
            <w:r w:rsidRPr="00672658">
              <w:rPr>
                <w:rFonts w:cs="Calibri"/>
                <w:b/>
              </w:rPr>
              <w:t>930</w:t>
            </w:r>
            <w:r>
              <w:rPr>
                <w:rFonts w:cs="Calibri"/>
                <w:b/>
              </w:rPr>
              <w:t xml:space="preserve"> </w:t>
            </w:r>
            <w:r w:rsidRPr="00672658">
              <w:rPr>
                <w:rFonts w:cs="Calibri"/>
                <w:b/>
              </w:rPr>
              <w:t>331,7</w:t>
            </w:r>
            <w:r>
              <w:rPr>
                <w:rFonts w:cs="Calibri"/>
                <w:b/>
              </w:rPr>
              <w:t>0</w:t>
            </w:r>
          </w:p>
        </w:tc>
      </w:tr>
    </w:tbl>
    <w:p w:rsidR="00565993" w:rsidRPr="002739A0" w:rsidRDefault="00E629F5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Pozostałe</w:t>
      </w:r>
      <w:r w:rsidR="00565993" w:rsidRPr="002739A0">
        <w:t xml:space="preserve"> zobowiązania</w:t>
      </w:r>
      <w:r w:rsidRPr="002739A0">
        <w:t xml:space="preserve"> d</w:t>
      </w:r>
      <w:r w:rsidR="00136F75" w:rsidRPr="002739A0">
        <w:t>ł</w:t>
      </w:r>
      <w:r w:rsidRPr="002739A0">
        <w:t>ugoterminowe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Pozostałe zobowiązania długoterminowe"/>
      </w:tblPr>
      <w:tblGrid>
        <w:gridCol w:w="3964"/>
        <w:gridCol w:w="1843"/>
        <w:gridCol w:w="1799"/>
        <w:gridCol w:w="1603"/>
      </w:tblGrid>
      <w:tr w:rsidR="000C5BE9" w:rsidRPr="002739A0" w:rsidTr="00637798">
        <w:trPr>
          <w:tblHeader/>
        </w:trPr>
        <w:tc>
          <w:tcPr>
            <w:tcW w:w="3964" w:type="dxa"/>
            <w:shd w:val="clear" w:color="auto" w:fill="auto"/>
          </w:tcPr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01.01.202</w:t>
            </w:r>
            <w:r w:rsidR="00C13E2A">
              <w:rPr>
                <w:rFonts w:cs="Calibri"/>
                <w:b/>
              </w:rPr>
              <w:t>2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799" w:type="dxa"/>
            <w:shd w:val="clear" w:color="auto" w:fill="auto"/>
          </w:tcPr>
          <w:p w:rsidR="000C5BE9" w:rsidRPr="002739A0" w:rsidRDefault="00C13E2A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603" w:type="dxa"/>
            <w:shd w:val="clear" w:color="auto" w:fill="auto"/>
          </w:tcPr>
          <w:p w:rsidR="00F00990" w:rsidRDefault="00F00990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</w:p>
          <w:p w:rsidR="00F00990" w:rsidRDefault="00F00990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</w:p>
          <w:p w:rsidR="000C5BE9" w:rsidRPr="002739A0" w:rsidRDefault="008140AD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C13E2A">
              <w:rPr>
                <w:rFonts w:cs="Calibri"/>
                <w:b/>
              </w:rPr>
              <w:t>2</w:t>
            </w:r>
            <w:r w:rsidR="000C5BE9" w:rsidRPr="002739A0">
              <w:rPr>
                <w:rFonts w:cs="Calibri"/>
                <w:b/>
              </w:rPr>
              <w:t xml:space="preserve"> r.</w:t>
            </w:r>
          </w:p>
          <w:p w:rsidR="000C5BE9" w:rsidRPr="002739A0" w:rsidRDefault="000C5BE9" w:rsidP="00943150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B8770C" w:rsidRPr="002739A0" w:rsidTr="00637798">
        <w:tc>
          <w:tcPr>
            <w:tcW w:w="3964" w:type="dxa"/>
            <w:shd w:val="clear" w:color="auto" w:fill="auto"/>
          </w:tcPr>
          <w:p w:rsidR="00B8770C" w:rsidRPr="002739A0" w:rsidRDefault="00B8770C" w:rsidP="00B8770C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z tytułu odroczonego podatku dochodowego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0C" w:rsidRPr="002739A0" w:rsidRDefault="00B8770C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333 647 975,06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8770C" w:rsidRPr="002739A0" w:rsidRDefault="001C7844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333 647 975,06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8770C" w:rsidRPr="002739A0" w:rsidRDefault="006553CF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6553CF">
              <w:rPr>
                <w:rFonts w:cs="Calibri"/>
              </w:rPr>
              <w:t>349</w:t>
            </w:r>
            <w:r>
              <w:rPr>
                <w:rFonts w:cs="Calibri"/>
              </w:rPr>
              <w:t> </w:t>
            </w:r>
            <w:r w:rsidRPr="006553CF">
              <w:rPr>
                <w:rFonts w:cs="Calibri"/>
              </w:rPr>
              <w:t>062</w:t>
            </w:r>
            <w:r>
              <w:rPr>
                <w:rFonts w:cs="Calibri"/>
              </w:rPr>
              <w:t xml:space="preserve"> </w:t>
            </w:r>
            <w:r w:rsidRPr="006553CF">
              <w:rPr>
                <w:rFonts w:cs="Calibri"/>
              </w:rPr>
              <w:t>187,63</w:t>
            </w:r>
          </w:p>
        </w:tc>
      </w:tr>
      <w:tr w:rsidR="00B8770C" w:rsidRPr="002739A0" w:rsidTr="00637798">
        <w:tc>
          <w:tcPr>
            <w:tcW w:w="3964" w:type="dxa"/>
            <w:shd w:val="clear" w:color="auto" w:fill="auto"/>
          </w:tcPr>
          <w:p w:rsidR="00B8770C" w:rsidRPr="002739A0" w:rsidRDefault="00B8770C" w:rsidP="00B8770C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długoterminowa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8770C" w:rsidRPr="002739A0" w:rsidRDefault="00B8770C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343 920 777,07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B8770C" w:rsidRPr="002739A0" w:rsidRDefault="00A63693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63693">
              <w:rPr>
                <w:rFonts w:cs="Calibri"/>
              </w:rPr>
              <w:t>344</w:t>
            </w:r>
            <w:r>
              <w:rPr>
                <w:rFonts w:cs="Calibri"/>
              </w:rPr>
              <w:t> </w:t>
            </w:r>
            <w:r w:rsidRPr="00A63693">
              <w:rPr>
                <w:rFonts w:cs="Calibri"/>
              </w:rPr>
              <w:t>314</w:t>
            </w:r>
            <w:r>
              <w:rPr>
                <w:rFonts w:cs="Calibri"/>
              </w:rPr>
              <w:t xml:space="preserve"> </w:t>
            </w:r>
            <w:r w:rsidRPr="00A63693">
              <w:rPr>
                <w:rFonts w:cs="Calibri"/>
              </w:rPr>
              <w:t>396,24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B8770C" w:rsidRPr="002739A0" w:rsidRDefault="00A63693" w:rsidP="00B8770C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A63693">
              <w:rPr>
                <w:rFonts w:cs="Calibri"/>
              </w:rPr>
              <w:t>363</w:t>
            </w:r>
            <w:r>
              <w:rPr>
                <w:rFonts w:cs="Calibri"/>
              </w:rPr>
              <w:t> </w:t>
            </w:r>
            <w:r w:rsidRPr="00A63693">
              <w:rPr>
                <w:rFonts w:cs="Calibri"/>
              </w:rPr>
              <w:t>835</w:t>
            </w:r>
            <w:r>
              <w:rPr>
                <w:rFonts w:cs="Calibri"/>
              </w:rPr>
              <w:t xml:space="preserve"> </w:t>
            </w:r>
            <w:r w:rsidRPr="00A63693">
              <w:rPr>
                <w:rFonts w:cs="Calibri"/>
              </w:rPr>
              <w:t>842,75</w:t>
            </w:r>
          </w:p>
        </w:tc>
      </w:tr>
      <w:tr w:rsidR="009E5CBA" w:rsidRPr="002739A0" w:rsidTr="00637798">
        <w:tc>
          <w:tcPr>
            <w:tcW w:w="3964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długoterminowa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38 795 777,41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E5CBA" w:rsidRPr="002739A0" w:rsidRDefault="001C7844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1C7844">
              <w:rPr>
                <w:rFonts w:cs="Calibri"/>
              </w:rPr>
              <w:t>38</w:t>
            </w:r>
            <w:r>
              <w:rPr>
                <w:rFonts w:cs="Calibri"/>
              </w:rPr>
              <w:t> </w:t>
            </w:r>
            <w:r w:rsidRPr="001C7844">
              <w:rPr>
                <w:rFonts w:cs="Calibri"/>
              </w:rPr>
              <w:t>795</w:t>
            </w:r>
            <w:r>
              <w:rPr>
                <w:rFonts w:cs="Calibri"/>
              </w:rPr>
              <w:t xml:space="preserve"> </w:t>
            </w:r>
            <w:r w:rsidRPr="001C7844">
              <w:rPr>
                <w:rFonts w:cs="Calibri"/>
              </w:rPr>
              <w:t>777,41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E5CBA" w:rsidRPr="002739A0" w:rsidRDefault="00E0060F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E0060F">
              <w:rPr>
                <w:rFonts w:cs="Calibri"/>
              </w:rPr>
              <w:t>30</w:t>
            </w:r>
            <w:r>
              <w:rPr>
                <w:rFonts w:cs="Calibri"/>
              </w:rPr>
              <w:t> </w:t>
            </w:r>
            <w:r w:rsidR="00765AAE">
              <w:rPr>
                <w:rFonts w:cs="Calibri"/>
              </w:rPr>
              <w:t>81</w:t>
            </w:r>
            <w:r w:rsidRPr="00E0060F">
              <w:rPr>
                <w:rFonts w:cs="Calibri"/>
              </w:rPr>
              <w:t>5</w:t>
            </w:r>
            <w:r>
              <w:rPr>
                <w:rFonts w:cs="Calibri"/>
              </w:rPr>
              <w:t xml:space="preserve"> </w:t>
            </w:r>
            <w:r w:rsidRPr="00E0060F">
              <w:rPr>
                <w:rFonts w:cs="Calibri"/>
              </w:rPr>
              <w:t>230,48</w:t>
            </w:r>
          </w:p>
        </w:tc>
      </w:tr>
      <w:tr w:rsidR="009E5CBA" w:rsidRPr="002739A0" w:rsidTr="00637798">
        <w:tc>
          <w:tcPr>
            <w:tcW w:w="3964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rPr>
                <w:rFonts w:cs="Calibri"/>
              </w:rPr>
            </w:pPr>
            <w:r w:rsidRPr="002739A0">
              <w:rPr>
                <w:rFonts w:cs="Calibri"/>
              </w:rPr>
              <w:t>Pozostałe zobowiązania długoterminowe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73 469 390,41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E5CBA" w:rsidRPr="002739A0" w:rsidRDefault="001C7844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1C7844">
              <w:rPr>
                <w:rFonts w:cs="Calibri"/>
              </w:rPr>
              <w:t>73</w:t>
            </w:r>
            <w:r>
              <w:rPr>
                <w:rFonts w:cs="Calibri"/>
              </w:rPr>
              <w:t> </w:t>
            </w:r>
            <w:r w:rsidRPr="001C7844">
              <w:rPr>
                <w:rFonts w:cs="Calibri"/>
              </w:rPr>
              <w:t>469</w:t>
            </w:r>
            <w:r>
              <w:rPr>
                <w:rFonts w:cs="Calibri"/>
              </w:rPr>
              <w:t xml:space="preserve"> </w:t>
            </w:r>
            <w:r w:rsidRPr="001C7844">
              <w:rPr>
                <w:rFonts w:cs="Calibri"/>
              </w:rPr>
              <w:t>390,41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E5CBA" w:rsidRPr="002739A0" w:rsidRDefault="00E0060F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</w:rPr>
            </w:pPr>
            <w:r w:rsidRPr="00E0060F">
              <w:rPr>
                <w:rFonts w:cs="Calibri"/>
              </w:rPr>
              <w:t>86</w:t>
            </w:r>
            <w:r>
              <w:rPr>
                <w:rFonts w:cs="Calibri"/>
              </w:rPr>
              <w:t> </w:t>
            </w:r>
            <w:r w:rsidRPr="00E0060F">
              <w:rPr>
                <w:rFonts w:cs="Calibri"/>
              </w:rPr>
              <w:t>782</w:t>
            </w:r>
            <w:r>
              <w:rPr>
                <w:rFonts w:cs="Calibri"/>
              </w:rPr>
              <w:t xml:space="preserve"> </w:t>
            </w:r>
            <w:r w:rsidRPr="00E0060F">
              <w:rPr>
                <w:rFonts w:cs="Calibri"/>
              </w:rPr>
              <w:t>153,17</w:t>
            </w:r>
          </w:p>
        </w:tc>
      </w:tr>
      <w:tr w:rsidR="009E5CBA" w:rsidRPr="002739A0" w:rsidTr="00637798">
        <w:trPr>
          <w:trHeight w:val="273"/>
        </w:trPr>
        <w:tc>
          <w:tcPr>
            <w:tcW w:w="3964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789 833 919,95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9E5CBA" w:rsidRPr="002739A0" w:rsidRDefault="00A63693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A63693">
              <w:rPr>
                <w:rFonts w:cs="Calibri"/>
                <w:b/>
              </w:rPr>
              <w:t>790</w:t>
            </w:r>
            <w:r>
              <w:rPr>
                <w:rFonts w:cs="Calibri"/>
                <w:b/>
              </w:rPr>
              <w:t> </w:t>
            </w:r>
            <w:r w:rsidRPr="00A63693">
              <w:rPr>
                <w:rFonts w:cs="Calibri"/>
                <w:b/>
              </w:rPr>
              <w:t>227</w:t>
            </w:r>
            <w:r>
              <w:rPr>
                <w:rFonts w:cs="Calibri"/>
                <w:b/>
              </w:rPr>
              <w:t xml:space="preserve"> </w:t>
            </w:r>
            <w:r w:rsidRPr="00A63693">
              <w:rPr>
                <w:rFonts w:cs="Calibri"/>
                <w:b/>
              </w:rPr>
              <w:t>539,12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9E5CBA" w:rsidRPr="002739A0" w:rsidRDefault="00A63693" w:rsidP="009E5CBA">
            <w:pPr>
              <w:tabs>
                <w:tab w:val="left" w:pos="567"/>
              </w:tabs>
              <w:spacing w:after="0"/>
              <w:jc w:val="right"/>
              <w:rPr>
                <w:rFonts w:cs="Calibri"/>
                <w:b/>
              </w:rPr>
            </w:pPr>
            <w:r w:rsidRPr="00A63693">
              <w:rPr>
                <w:rFonts w:cs="Calibri"/>
                <w:b/>
              </w:rPr>
              <w:t>830</w:t>
            </w:r>
            <w:r>
              <w:rPr>
                <w:rFonts w:cs="Calibri"/>
                <w:b/>
              </w:rPr>
              <w:t> </w:t>
            </w:r>
            <w:r w:rsidRPr="00A63693">
              <w:rPr>
                <w:rFonts w:cs="Calibri"/>
                <w:b/>
              </w:rPr>
              <w:t>495</w:t>
            </w:r>
            <w:r>
              <w:rPr>
                <w:rFonts w:cs="Calibri"/>
                <w:b/>
              </w:rPr>
              <w:t xml:space="preserve"> </w:t>
            </w:r>
            <w:r w:rsidRPr="00A63693">
              <w:rPr>
                <w:rFonts w:cs="Calibri"/>
                <w:b/>
              </w:rPr>
              <w:t>414,03</w:t>
            </w:r>
          </w:p>
        </w:tc>
      </w:tr>
    </w:tbl>
    <w:p w:rsidR="00580C09" w:rsidRDefault="00580C09" w:rsidP="00580C09">
      <w:pPr>
        <w:tabs>
          <w:tab w:val="left" w:pos="1701"/>
        </w:tabs>
        <w:spacing w:before="240"/>
        <w:ind w:left="1224"/>
      </w:pPr>
    </w:p>
    <w:p w:rsidR="00580C09" w:rsidRDefault="00580C09" w:rsidP="00580C09">
      <w:r>
        <w:br w:type="page"/>
      </w:r>
    </w:p>
    <w:p w:rsidR="00882DB2" w:rsidRPr="002739A0" w:rsidRDefault="00882DB2" w:rsidP="00DD70EA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Rezerwy</w:t>
      </w:r>
      <w:r w:rsidR="00B170C5" w:rsidRPr="002739A0">
        <w:t xml:space="preserve"> na zobowiązania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ezerwy na zobowiązania"/>
      </w:tblPr>
      <w:tblGrid>
        <w:gridCol w:w="3681"/>
        <w:gridCol w:w="1843"/>
        <w:gridCol w:w="1842"/>
        <w:gridCol w:w="1843"/>
      </w:tblGrid>
      <w:tr w:rsidR="00CF4F49" w:rsidRPr="002739A0" w:rsidTr="003514DA">
        <w:trPr>
          <w:tblHeader/>
        </w:trPr>
        <w:tc>
          <w:tcPr>
            <w:tcW w:w="3681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9E5CBA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CF4F49"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2" w:type="dxa"/>
            <w:shd w:val="clear" w:color="auto" w:fill="auto"/>
          </w:tcPr>
          <w:p w:rsidR="00CF4F49" w:rsidRPr="002739A0" w:rsidRDefault="009E5CBA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CF4F49"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9E5CBA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31.12.2022</w:t>
            </w:r>
            <w:r w:rsidR="00CF4F49"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9E5CBA" w:rsidRPr="002739A0" w:rsidTr="003514DA">
        <w:tc>
          <w:tcPr>
            <w:tcW w:w="3681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Rezerwa na świadczenia emerytalne – część krótkoterminowa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81 222 312,82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5CBA" w:rsidRPr="002739A0" w:rsidRDefault="0011272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11272A">
              <w:rPr>
                <w:rFonts w:cs="Calibri"/>
              </w:rPr>
              <w:t>80</w:t>
            </w:r>
            <w:r>
              <w:rPr>
                <w:rFonts w:cs="Calibri"/>
              </w:rPr>
              <w:t> </w:t>
            </w:r>
            <w:r w:rsidRPr="0011272A">
              <w:rPr>
                <w:rFonts w:cs="Calibri"/>
              </w:rPr>
              <w:t>352</w:t>
            </w:r>
            <w:r>
              <w:rPr>
                <w:rFonts w:cs="Calibri"/>
              </w:rPr>
              <w:t xml:space="preserve"> </w:t>
            </w:r>
            <w:r w:rsidRPr="0011272A">
              <w:rPr>
                <w:rFonts w:cs="Calibri"/>
              </w:rPr>
              <w:t>311,27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11272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11272A">
              <w:rPr>
                <w:rFonts w:cs="Calibri"/>
              </w:rPr>
              <w:t>75</w:t>
            </w:r>
            <w:r>
              <w:rPr>
                <w:rFonts w:cs="Calibri"/>
              </w:rPr>
              <w:t> </w:t>
            </w:r>
            <w:r w:rsidRPr="0011272A">
              <w:rPr>
                <w:rFonts w:cs="Calibri"/>
              </w:rPr>
              <w:t>734</w:t>
            </w:r>
            <w:r>
              <w:rPr>
                <w:rFonts w:cs="Calibri"/>
              </w:rPr>
              <w:t xml:space="preserve"> </w:t>
            </w:r>
            <w:r w:rsidRPr="0011272A">
              <w:rPr>
                <w:rFonts w:cs="Calibri"/>
              </w:rPr>
              <w:t>021,96</w:t>
            </w:r>
          </w:p>
        </w:tc>
      </w:tr>
      <w:tr w:rsidR="009E5CBA" w:rsidRPr="002739A0" w:rsidTr="003514DA">
        <w:tc>
          <w:tcPr>
            <w:tcW w:w="3681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krótkoterminowe – m.st. Warszawa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1 832 221 813,79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E5CBA" w:rsidRPr="002739A0" w:rsidRDefault="00797AF9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1 832 221 813,79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E5CBA" w:rsidRPr="002739A0" w:rsidRDefault="00797AF9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97AF9">
              <w:rPr>
                <w:rFonts w:cs="Calibri"/>
              </w:rPr>
              <w:t>1</w:t>
            </w:r>
            <w:r>
              <w:rPr>
                <w:rFonts w:cs="Calibri"/>
              </w:rPr>
              <w:t> </w:t>
            </w:r>
            <w:r w:rsidRPr="00797AF9">
              <w:rPr>
                <w:rFonts w:cs="Calibri"/>
              </w:rPr>
              <w:t>995</w:t>
            </w:r>
            <w:r>
              <w:rPr>
                <w:rFonts w:cs="Calibri"/>
              </w:rPr>
              <w:t> </w:t>
            </w:r>
            <w:r w:rsidRPr="00797AF9">
              <w:rPr>
                <w:rFonts w:cs="Calibri"/>
              </w:rPr>
              <w:t>137</w:t>
            </w:r>
            <w:r>
              <w:rPr>
                <w:rFonts w:cs="Calibri"/>
              </w:rPr>
              <w:t xml:space="preserve"> </w:t>
            </w:r>
            <w:r w:rsidRPr="00797AF9">
              <w:rPr>
                <w:rFonts w:cs="Calibri"/>
              </w:rPr>
              <w:t>077,18</w:t>
            </w:r>
          </w:p>
        </w:tc>
      </w:tr>
      <w:tr w:rsidR="009E5CBA" w:rsidRPr="002739A0" w:rsidTr="003514DA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Pozostałe rezerwy w sprawozdaniach finansowych podmiotów zależnych – część krótkoterminowa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195 292 689,03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BA" w:rsidRPr="002739A0" w:rsidRDefault="00797AF9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797AF9">
              <w:rPr>
                <w:rFonts w:cs="Calibri"/>
              </w:rPr>
              <w:t>195</w:t>
            </w:r>
            <w:r>
              <w:rPr>
                <w:rFonts w:cs="Calibri"/>
              </w:rPr>
              <w:t> </w:t>
            </w:r>
            <w:r w:rsidRPr="00797AF9">
              <w:rPr>
                <w:rFonts w:cs="Calibri"/>
              </w:rPr>
              <w:t>561</w:t>
            </w:r>
            <w:r>
              <w:rPr>
                <w:rFonts w:cs="Calibri"/>
              </w:rPr>
              <w:t xml:space="preserve"> </w:t>
            </w:r>
            <w:r w:rsidRPr="00797AF9">
              <w:rPr>
                <w:rFonts w:cs="Calibri"/>
              </w:rPr>
              <w:t>890,49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CBA" w:rsidRPr="002739A0" w:rsidRDefault="008C2040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8C2040">
              <w:rPr>
                <w:rFonts w:cs="Calibri"/>
              </w:rPr>
              <w:t>291</w:t>
            </w:r>
            <w:r>
              <w:rPr>
                <w:rFonts w:cs="Calibri"/>
              </w:rPr>
              <w:t> </w:t>
            </w:r>
            <w:r w:rsidRPr="008C2040">
              <w:rPr>
                <w:rFonts w:cs="Calibri"/>
              </w:rPr>
              <w:t>124</w:t>
            </w:r>
            <w:r>
              <w:rPr>
                <w:rFonts w:cs="Calibri"/>
              </w:rPr>
              <w:t xml:space="preserve"> </w:t>
            </w:r>
            <w:r w:rsidRPr="008C2040">
              <w:rPr>
                <w:rFonts w:cs="Calibri"/>
              </w:rPr>
              <w:t>071,55</w:t>
            </w:r>
          </w:p>
        </w:tc>
      </w:tr>
      <w:tr w:rsidR="009E5CBA" w:rsidRPr="002739A0" w:rsidTr="003514DA">
        <w:trPr>
          <w:trHeight w:val="22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2 108 736 815,64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BA" w:rsidRPr="002739A0" w:rsidRDefault="008C2040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C2040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108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136</w:t>
            </w:r>
            <w:r>
              <w:rPr>
                <w:rFonts w:cs="Calibri"/>
                <w:b/>
              </w:rPr>
              <w:t xml:space="preserve"> </w:t>
            </w:r>
            <w:r w:rsidRPr="008C2040">
              <w:rPr>
                <w:rFonts w:cs="Calibri"/>
                <w:b/>
              </w:rPr>
              <w:t>015,55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BA" w:rsidRPr="002739A0" w:rsidRDefault="008C2040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8C2040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361</w:t>
            </w:r>
            <w:r>
              <w:rPr>
                <w:rFonts w:cs="Calibri"/>
                <w:b/>
              </w:rPr>
              <w:t> </w:t>
            </w:r>
            <w:r w:rsidRPr="008C2040">
              <w:rPr>
                <w:rFonts w:cs="Calibri"/>
                <w:b/>
              </w:rPr>
              <w:t>995</w:t>
            </w:r>
            <w:r>
              <w:rPr>
                <w:rFonts w:cs="Calibri"/>
                <w:b/>
              </w:rPr>
              <w:t xml:space="preserve"> </w:t>
            </w:r>
            <w:r w:rsidRPr="008C2040">
              <w:rPr>
                <w:rFonts w:cs="Calibri"/>
                <w:b/>
              </w:rPr>
              <w:t>170,69</w:t>
            </w:r>
          </w:p>
        </w:tc>
      </w:tr>
    </w:tbl>
    <w:p w:rsidR="0011536D" w:rsidRPr="002739A0" w:rsidRDefault="0011536D" w:rsidP="0081421C">
      <w:pPr>
        <w:numPr>
          <w:ilvl w:val="2"/>
          <w:numId w:val="11"/>
        </w:numPr>
        <w:tabs>
          <w:tab w:val="left" w:pos="1701"/>
        </w:tabs>
        <w:spacing w:before="240"/>
        <w:ind w:hanging="232"/>
      </w:pPr>
      <w:r w:rsidRPr="002739A0">
        <w:t>Rozliczenia międzyokresowe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Rozliczenia miedzyokresowe"/>
      </w:tblPr>
      <w:tblGrid>
        <w:gridCol w:w="3715"/>
        <w:gridCol w:w="1843"/>
        <w:gridCol w:w="1842"/>
        <w:gridCol w:w="1843"/>
      </w:tblGrid>
      <w:tr w:rsidR="00CF4F49" w:rsidRPr="002739A0" w:rsidTr="00CA5B8E">
        <w:trPr>
          <w:tblHeader/>
        </w:trPr>
        <w:tc>
          <w:tcPr>
            <w:tcW w:w="3715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Tytuł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9E5CBA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CF4F49"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dane porównawcze</w:t>
            </w:r>
          </w:p>
        </w:tc>
        <w:tc>
          <w:tcPr>
            <w:tcW w:w="1842" w:type="dxa"/>
            <w:shd w:val="clear" w:color="auto" w:fill="auto"/>
          </w:tcPr>
          <w:p w:rsidR="00CF4F49" w:rsidRPr="002739A0" w:rsidRDefault="009E5CBA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01.01.2022</w:t>
            </w:r>
            <w:r w:rsidR="00CF4F49"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przekształcone dane porównawcze</w:t>
            </w:r>
          </w:p>
        </w:tc>
        <w:tc>
          <w:tcPr>
            <w:tcW w:w="1843" w:type="dxa"/>
            <w:shd w:val="clear" w:color="auto" w:fill="auto"/>
          </w:tcPr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31.12.202</w:t>
            </w:r>
            <w:r w:rsidR="009E5CBA">
              <w:rPr>
                <w:rFonts w:cs="Calibri"/>
                <w:b/>
              </w:rPr>
              <w:t>2</w:t>
            </w:r>
            <w:r w:rsidRPr="002739A0">
              <w:rPr>
                <w:rFonts w:cs="Calibri"/>
                <w:b/>
              </w:rPr>
              <w:t xml:space="preserve"> r.</w:t>
            </w:r>
          </w:p>
          <w:p w:rsidR="00CF4F49" w:rsidRPr="002739A0" w:rsidRDefault="00CF4F49" w:rsidP="00CF4F49">
            <w:pPr>
              <w:tabs>
                <w:tab w:val="left" w:pos="567"/>
              </w:tabs>
              <w:spacing w:after="0"/>
              <w:jc w:val="center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zł</w:t>
            </w:r>
          </w:p>
        </w:tc>
      </w:tr>
      <w:tr w:rsidR="009E5CBA" w:rsidRPr="002739A0" w:rsidTr="00CA5B8E">
        <w:tc>
          <w:tcPr>
            <w:tcW w:w="3715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Rozliczenia międzyokresowe przychodów</w:t>
            </w:r>
          </w:p>
        </w:tc>
        <w:tc>
          <w:tcPr>
            <w:tcW w:w="1843" w:type="dxa"/>
            <w:shd w:val="clear" w:color="auto" w:fill="auto"/>
          </w:tcPr>
          <w:p w:rsidR="009E5CBA" w:rsidRPr="002739A0" w:rsidRDefault="009E5CBA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320 741 990,84</w:t>
            </w:r>
          </w:p>
        </w:tc>
        <w:tc>
          <w:tcPr>
            <w:tcW w:w="1842" w:type="dxa"/>
            <w:shd w:val="clear" w:color="auto" w:fill="auto"/>
          </w:tcPr>
          <w:p w:rsidR="009E5CBA" w:rsidRPr="002739A0" w:rsidRDefault="00A70C1C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A70C1C">
              <w:rPr>
                <w:rFonts w:cs="Calibri"/>
              </w:rPr>
              <w:t>301</w:t>
            </w:r>
            <w:r>
              <w:rPr>
                <w:rFonts w:cs="Calibri"/>
              </w:rPr>
              <w:t> </w:t>
            </w:r>
            <w:r w:rsidRPr="00A70C1C">
              <w:rPr>
                <w:rFonts w:cs="Calibri"/>
              </w:rPr>
              <w:t>145</w:t>
            </w:r>
            <w:r>
              <w:rPr>
                <w:rFonts w:cs="Calibri"/>
              </w:rPr>
              <w:t xml:space="preserve"> </w:t>
            </w:r>
            <w:r w:rsidRPr="00A70C1C">
              <w:rPr>
                <w:rFonts w:cs="Calibri"/>
              </w:rPr>
              <w:t>581,29</w:t>
            </w:r>
          </w:p>
        </w:tc>
        <w:tc>
          <w:tcPr>
            <w:tcW w:w="1843" w:type="dxa"/>
            <w:shd w:val="clear" w:color="auto" w:fill="auto"/>
          </w:tcPr>
          <w:p w:rsidR="009E5CBA" w:rsidRPr="002739A0" w:rsidRDefault="00EA3CA1" w:rsidP="009E5CBA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343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723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890,64</w:t>
            </w:r>
          </w:p>
        </w:tc>
      </w:tr>
      <w:tr w:rsidR="001748D4" w:rsidRPr="002739A0" w:rsidTr="00CA5B8E">
        <w:tc>
          <w:tcPr>
            <w:tcW w:w="3715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długoterminowe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4 791 823 650,17</w:t>
            </w:r>
          </w:p>
        </w:tc>
        <w:tc>
          <w:tcPr>
            <w:tcW w:w="1842" w:type="dxa"/>
            <w:shd w:val="clear" w:color="auto" w:fill="auto"/>
          </w:tcPr>
          <w:p w:rsidR="001748D4" w:rsidRPr="002739A0" w:rsidRDefault="00A70C1C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A70C1C">
              <w:rPr>
                <w:rFonts w:cs="Calibri"/>
              </w:rPr>
              <w:t>4</w:t>
            </w:r>
            <w:r>
              <w:rPr>
                <w:rFonts w:cs="Calibri"/>
              </w:rPr>
              <w:t> </w:t>
            </w:r>
            <w:r w:rsidRPr="00A70C1C">
              <w:rPr>
                <w:rFonts w:cs="Calibri"/>
              </w:rPr>
              <w:t>809</w:t>
            </w:r>
            <w:r>
              <w:rPr>
                <w:rFonts w:cs="Calibri"/>
              </w:rPr>
              <w:t> </w:t>
            </w:r>
            <w:r w:rsidRPr="00A70C1C">
              <w:rPr>
                <w:rFonts w:cs="Calibri"/>
              </w:rPr>
              <w:t>938</w:t>
            </w:r>
            <w:r>
              <w:rPr>
                <w:rFonts w:cs="Calibri"/>
              </w:rPr>
              <w:t xml:space="preserve"> </w:t>
            </w:r>
            <w:r w:rsidRPr="00A70C1C">
              <w:rPr>
                <w:rFonts w:cs="Calibri"/>
              </w:rPr>
              <w:t>160,82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EA3CA1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5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189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353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173,62</w:t>
            </w:r>
          </w:p>
        </w:tc>
      </w:tr>
      <w:tr w:rsidR="001748D4" w:rsidRPr="002739A0" w:rsidTr="00CA5B8E">
        <w:tc>
          <w:tcPr>
            <w:tcW w:w="3715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Inne rozliczenia międzyokresowe krótkoterminowe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485 428 284,01</w:t>
            </w:r>
          </w:p>
        </w:tc>
        <w:tc>
          <w:tcPr>
            <w:tcW w:w="1842" w:type="dxa"/>
            <w:shd w:val="clear" w:color="auto" w:fill="auto"/>
          </w:tcPr>
          <w:p w:rsidR="001748D4" w:rsidRPr="002739A0" w:rsidRDefault="00A70C1C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A70C1C">
              <w:rPr>
                <w:rFonts w:cs="Calibri"/>
              </w:rPr>
              <w:t>486</w:t>
            </w:r>
            <w:r>
              <w:rPr>
                <w:rFonts w:cs="Calibri"/>
              </w:rPr>
              <w:t> </w:t>
            </w:r>
            <w:r w:rsidRPr="00A70C1C">
              <w:rPr>
                <w:rFonts w:cs="Calibri"/>
              </w:rPr>
              <w:t>734</w:t>
            </w:r>
            <w:r>
              <w:rPr>
                <w:rFonts w:cs="Calibri"/>
              </w:rPr>
              <w:t xml:space="preserve"> </w:t>
            </w:r>
            <w:r w:rsidRPr="00A70C1C">
              <w:rPr>
                <w:rFonts w:cs="Calibri"/>
              </w:rPr>
              <w:t>528,91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EA3CA1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EA3CA1">
              <w:rPr>
                <w:rFonts w:cs="Calibri"/>
              </w:rPr>
              <w:t>446</w:t>
            </w:r>
            <w:r>
              <w:rPr>
                <w:rFonts w:cs="Calibri"/>
              </w:rPr>
              <w:t> </w:t>
            </w:r>
            <w:r w:rsidRPr="00EA3CA1">
              <w:rPr>
                <w:rFonts w:cs="Calibri"/>
              </w:rPr>
              <w:t>564</w:t>
            </w:r>
            <w:r>
              <w:rPr>
                <w:rFonts w:cs="Calibri"/>
              </w:rPr>
              <w:t xml:space="preserve"> </w:t>
            </w:r>
            <w:r w:rsidRPr="00EA3CA1">
              <w:rPr>
                <w:rFonts w:cs="Calibri"/>
              </w:rPr>
              <w:t>335,71</w:t>
            </w:r>
          </w:p>
        </w:tc>
      </w:tr>
      <w:tr w:rsidR="001748D4" w:rsidRPr="002739A0" w:rsidTr="00CA5B8E">
        <w:tc>
          <w:tcPr>
            <w:tcW w:w="3715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gmin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110 280 899,00</w:t>
            </w:r>
          </w:p>
        </w:tc>
        <w:tc>
          <w:tcPr>
            <w:tcW w:w="1842" w:type="dxa"/>
            <w:shd w:val="clear" w:color="auto" w:fill="auto"/>
          </w:tcPr>
          <w:p w:rsidR="001748D4" w:rsidRPr="002739A0" w:rsidRDefault="00A70C1C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110 280 899,00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DA5741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141 696 027,00</w:t>
            </w:r>
          </w:p>
        </w:tc>
      </w:tr>
      <w:tr w:rsidR="001748D4" w:rsidRPr="002739A0" w:rsidTr="00CA5B8E">
        <w:tc>
          <w:tcPr>
            <w:tcW w:w="3715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Część oświatowa subwencji ogólnej dla powiatów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1748D4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87 085 489,00</w:t>
            </w:r>
          </w:p>
        </w:tc>
        <w:tc>
          <w:tcPr>
            <w:tcW w:w="1842" w:type="dxa"/>
            <w:shd w:val="clear" w:color="auto" w:fill="auto"/>
          </w:tcPr>
          <w:p w:rsidR="001748D4" w:rsidRPr="002739A0" w:rsidRDefault="00A70C1C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87 085 489,00</w:t>
            </w:r>
          </w:p>
        </w:tc>
        <w:tc>
          <w:tcPr>
            <w:tcW w:w="1843" w:type="dxa"/>
            <w:shd w:val="clear" w:color="auto" w:fill="auto"/>
          </w:tcPr>
          <w:p w:rsidR="001748D4" w:rsidRPr="002739A0" w:rsidRDefault="00DA5741" w:rsidP="001748D4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114 105 877,00</w:t>
            </w:r>
          </w:p>
        </w:tc>
      </w:tr>
      <w:tr w:rsidR="00BC2F3B" w:rsidRPr="002739A0" w:rsidTr="00CA5B8E">
        <w:tc>
          <w:tcPr>
            <w:tcW w:w="3715" w:type="dxa"/>
            <w:shd w:val="clear" w:color="auto" w:fill="auto"/>
          </w:tcPr>
          <w:p w:rsidR="00BC2F3B" w:rsidRPr="002739A0" w:rsidRDefault="00BC2F3B" w:rsidP="00BC2F3B">
            <w:pPr>
              <w:tabs>
                <w:tab w:val="left" w:pos="567"/>
              </w:tabs>
              <w:spacing w:after="0"/>
              <w:contextualSpacing/>
              <w:rPr>
                <w:rFonts w:cs="Calibri"/>
              </w:rPr>
            </w:pPr>
            <w:r w:rsidRPr="002739A0">
              <w:rPr>
                <w:rFonts w:cs="Calibri"/>
              </w:rPr>
              <w:t>Dotacja dla KM PSP na wynagrodzenia za styczeń roku następnego</w:t>
            </w:r>
          </w:p>
        </w:tc>
        <w:tc>
          <w:tcPr>
            <w:tcW w:w="1843" w:type="dxa"/>
            <w:shd w:val="clear" w:color="auto" w:fill="auto"/>
          </w:tcPr>
          <w:p w:rsidR="00BC2F3B" w:rsidRPr="002739A0" w:rsidRDefault="00BC2F3B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6 401 956,00</w:t>
            </w:r>
          </w:p>
        </w:tc>
        <w:tc>
          <w:tcPr>
            <w:tcW w:w="1842" w:type="dxa"/>
            <w:shd w:val="clear" w:color="auto" w:fill="auto"/>
          </w:tcPr>
          <w:p w:rsidR="00BC2F3B" w:rsidRPr="002739A0" w:rsidRDefault="00A70C1C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2739A0">
              <w:rPr>
                <w:rFonts w:cs="Calibri"/>
              </w:rPr>
              <w:t>6 401 956,00</w:t>
            </w:r>
          </w:p>
        </w:tc>
        <w:tc>
          <w:tcPr>
            <w:tcW w:w="1843" w:type="dxa"/>
            <w:shd w:val="clear" w:color="auto" w:fill="auto"/>
          </w:tcPr>
          <w:p w:rsidR="00BC2F3B" w:rsidRPr="002739A0" w:rsidRDefault="00DA5741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</w:rPr>
            </w:pPr>
            <w:r w:rsidRPr="00DA5741">
              <w:rPr>
                <w:rFonts w:cs="Calibri"/>
              </w:rPr>
              <w:t>7 508 158,00</w:t>
            </w:r>
          </w:p>
        </w:tc>
      </w:tr>
      <w:tr w:rsidR="00BC2F3B" w:rsidRPr="002739A0" w:rsidTr="00CA5B8E">
        <w:trPr>
          <w:trHeight w:val="278"/>
        </w:trPr>
        <w:tc>
          <w:tcPr>
            <w:tcW w:w="3715" w:type="dxa"/>
            <w:shd w:val="clear" w:color="auto" w:fill="auto"/>
          </w:tcPr>
          <w:p w:rsidR="00BC2F3B" w:rsidRPr="002739A0" w:rsidRDefault="00BC2F3B" w:rsidP="00BC2F3B">
            <w:pPr>
              <w:tabs>
                <w:tab w:val="left" w:pos="567"/>
              </w:tabs>
              <w:spacing w:after="0"/>
              <w:contextualSpacing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Razem</w:t>
            </w:r>
          </w:p>
        </w:tc>
        <w:tc>
          <w:tcPr>
            <w:tcW w:w="1843" w:type="dxa"/>
            <w:shd w:val="clear" w:color="auto" w:fill="auto"/>
          </w:tcPr>
          <w:p w:rsidR="00BC2F3B" w:rsidRPr="002739A0" w:rsidRDefault="00BC2F3B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739A0">
              <w:rPr>
                <w:rFonts w:cs="Calibri"/>
                <w:b/>
              </w:rPr>
              <w:t>5 801 762 269,02</w:t>
            </w:r>
          </w:p>
        </w:tc>
        <w:tc>
          <w:tcPr>
            <w:tcW w:w="1842" w:type="dxa"/>
            <w:shd w:val="clear" w:color="auto" w:fill="auto"/>
          </w:tcPr>
          <w:p w:rsidR="00BC2F3B" w:rsidRPr="002739A0" w:rsidRDefault="00A70C1C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A70C1C">
              <w:rPr>
                <w:rFonts w:cs="Calibri"/>
                <w:b/>
              </w:rPr>
              <w:t>5</w:t>
            </w:r>
            <w:r>
              <w:rPr>
                <w:rFonts w:cs="Calibri"/>
                <w:b/>
              </w:rPr>
              <w:t> </w:t>
            </w:r>
            <w:r w:rsidRPr="00A70C1C">
              <w:rPr>
                <w:rFonts w:cs="Calibri"/>
                <w:b/>
              </w:rPr>
              <w:t>801</w:t>
            </w:r>
            <w:r>
              <w:rPr>
                <w:rFonts w:cs="Calibri"/>
                <w:b/>
              </w:rPr>
              <w:t> </w:t>
            </w:r>
            <w:r w:rsidRPr="00A70C1C">
              <w:rPr>
                <w:rFonts w:cs="Calibri"/>
                <w:b/>
              </w:rPr>
              <w:t>586</w:t>
            </w:r>
            <w:r>
              <w:rPr>
                <w:rFonts w:cs="Calibri"/>
                <w:b/>
              </w:rPr>
              <w:t xml:space="preserve"> </w:t>
            </w:r>
            <w:r w:rsidRPr="00A70C1C">
              <w:rPr>
                <w:rFonts w:cs="Calibri"/>
                <w:b/>
              </w:rPr>
              <w:t>615,02</w:t>
            </w:r>
          </w:p>
        </w:tc>
        <w:tc>
          <w:tcPr>
            <w:tcW w:w="1843" w:type="dxa"/>
            <w:shd w:val="clear" w:color="auto" w:fill="auto"/>
          </w:tcPr>
          <w:p w:rsidR="00BC2F3B" w:rsidRPr="002739A0" w:rsidRDefault="002574FD" w:rsidP="00BC2F3B">
            <w:pPr>
              <w:tabs>
                <w:tab w:val="left" w:pos="567"/>
              </w:tabs>
              <w:spacing w:after="0"/>
              <w:contextualSpacing/>
              <w:jc w:val="right"/>
              <w:rPr>
                <w:rFonts w:cs="Calibri"/>
                <w:b/>
              </w:rPr>
            </w:pPr>
            <w:r w:rsidRPr="002574FD">
              <w:rPr>
                <w:rFonts w:cs="Calibri"/>
                <w:b/>
              </w:rPr>
              <w:t>6</w:t>
            </w:r>
            <w:r>
              <w:rPr>
                <w:rFonts w:cs="Calibri"/>
                <w:b/>
              </w:rPr>
              <w:t> </w:t>
            </w:r>
            <w:r w:rsidRPr="002574FD">
              <w:rPr>
                <w:rFonts w:cs="Calibri"/>
                <w:b/>
              </w:rPr>
              <w:t>242</w:t>
            </w:r>
            <w:r>
              <w:rPr>
                <w:rFonts w:cs="Calibri"/>
                <w:b/>
              </w:rPr>
              <w:t> </w:t>
            </w:r>
            <w:r w:rsidRPr="002574FD">
              <w:rPr>
                <w:rFonts w:cs="Calibri"/>
                <w:b/>
              </w:rPr>
              <w:t>951</w:t>
            </w:r>
            <w:r>
              <w:rPr>
                <w:rFonts w:cs="Calibri"/>
                <w:b/>
              </w:rPr>
              <w:t xml:space="preserve"> </w:t>
            </w:r>
            <w:r w:rsidRPr="002574FD">
              <w:rPr>
                <w:rFonts w:cs="Calibri"/>
                <w:b/>
              </w:rPr>
              <w:t>461,97</w:t>
            </w:r>
          </w:p>
        </w:tc>
      </w:tr>
    </w:tbl>
    <w:p w:rsidR="0081421C" w:rsidRDefault="0081421C" w:rsidP="00943150">
      <w:pPr>
        <w:tabs>
          <w:tab w:val="num" w:pos="7088"/>
        </w:tabs>
        <w:spacing w:before="240"/>
        <w:contextualSpacing/>
        <w:rPr>
          <w:rFonts w:cs="Calibri"/>
          <w:b/>
        </w:rPr>
      </w:pPr>
    </w:p>
    <w:p w:rsidR="000A4F03" w:rsidRDefault="000A4F03" w:rsidP="00943150">
      <w:pPr>
        <w:tabs>
          <w:tab w:val="num" w:pos="7088"/>
        </w:tabs>
        <w:spacing w:before="240"/>
        <w:contextualSpacing/>
        <w:rPr>
          <w:rFonts w:cs="Calibri"/>
          <w:b/>
        </w:rPr>
      </w:pPr>
    </w:p>
    <w:p w:rsidR="0081421C" w:rsidRDefault="0081421C" w:rsidP="00943150">
      <w:pPr>
        <w:tabs>
          <w:tab w:val="num" w:pos="7088"/>
        </w:tabs>
        <w:spacing w:before="240"/>
        <w:contextualSpacing/>
        <w:rPr>
          <w:rFonts w:cs="Calibri"/>
          <w:b/>
        </w:rPr>
      </w:pPr>
    </w:p>
    <w:p w:rsidR="0051372C" w:rsidRPr="002739A0" w:rsidRDefault="004B69FB" w:rsidP="00943150">
      <w:pPr>
        <w:tabs>
          <w:tab w:val="num" w:pos="7088"/>
        </w:tabs>
        <w:spacing w:before="240"/>
        <w:contextualSpacing/>
        <w:rPr>
          <w:rFonts w:cs="Calibri"/>
          <w:b/>
        </w:rPr>
      </w:pPr>
      <w:r w:rsidRPr="002739A0">
        <w:rPr>
          <w:rFonts w:cs="Calibri"/>
          <w:b/>
        </w:rPr>
        <w:t>S</w:t>
      </w:r>
      <w:r w:rsidR="00D471F3" w:rsidRPr="002739A0">
        <w:rPr>
          <w:rFonts w:cs="Calibri"/>
          <w:b/>
        </w:rPr>
        <w:t>karbnik</w:t>
      </w:r>
      <w:r w:rsidR="00D471F3" w:rsidRPr="002739A0">
        <w:rPr>
          <w:rFonts w:cs="Calibri"/>
          <w:b/>
        </w:rPr>
        <w:tab/>
      </w:r>
      <w:r w:rsidR="0051372C" w:rsidRPr="002739A0">
        <w:rPr>
          <w:rFonts w:cs="Calibri"/>
          <w:b/>
        </w:rPr>
        <w:t>Prezydent</w:t>
      </w:r>
    </w:p>
    <w:p w:rsidR="00943150" w:rsidRPr="002739A0" w:rsidRDefault="00631684" w:rsidP="00943150">
      <w:pPr>
        <w:tabs>
          <w:tab w:val="num" w:pos="7088"/>
        </w:tabs>
        <w:contextualSpacing/>
        <w:rPr>
          <w:rFonts w:cs="Calibri"/>
          <w:b/>
        </w:rPr>
      </w:pPr>
      <w:r w:rsidRPr="002739A0">
        <w:rPr>
          <w:rFonts w:cs="Calibri"/>
          <w:b/>
        </w:rPr>
        <w:t>m.st.</w:t>
      </w:r>
      <w:r w:rsidR="0051372C" w:rsidRPr="002739A0">
        <w:rPr>
          <w:rFonts w:cs="Calibri"/>
          <w:b/>
        </w:rPr>
        <w:t xml:space="preserve"> Warszawy</w:t>
      </w:r>
      <w:r w:rsidR="00D471F3" w:rsidRPr="002739A0">
        <w:rPr>
          <w:rFonts w:cs="Calibri"/>
          <w:b/>
        </w:rPr>
        <w:tab/>
      </w:r>
      <w:r w:rsidRPr="002739A0">
        <w:rPr>
          <w:rFonts w:cs="Calibri"/>
          <w:b/>
        </w:rPr>
        <w:t>m.st.</w:t>
      </w:r>
      <w:r w:rsidR="0051372C" w:rsidRPr="002739A0">
        <w:rPr>
          <w:rFonts w:cs="Calibri"/>
          <w:b/>
        </w:rPr>
        <w:t xml:space="preserve"> Warszawy</w:t>
      </w:r>
    </w:p>
    <w:p w:rsidR="00C274F3" w:rsidRPr="00943150" w:rsidRDefault="001508C8" w:rsidP="00943150">
      <w:pPr>
        <w:tabs>
          <w:tab w:val="num" w:pos="7088"/>
        </w:tabs>
        <w:contextualSpacing/>
        <w:jc w:val="center"/>
        <w:rPr>
          <w:rFonts w:cs="Calibri"/>
          <w:b/>
        </w:rPr>
      </w:pPr>
      <w:r w:rsidRPr="00CA5B8E">
        <w:rPr>
          <w:rFonts w:cs="Calibri"/>
        </w:rPr>
        <w:t>Warszawa,</w:t>
      </w:r>
      <w:r w:rsidR="00A64236">
        <w:rPr>
          <w:rFonts w:cs="Calibri"/>
        </w:rPr>
        <w:t xml:space="preserve"> 25</w:t>
      </w:r>
      <w:bookmarkStart w:id="0" w:name="_GoBack"/>
      <w:bookmarkEnd w:id="0"/>
      <w:r w:rsidR="006D0FA2">
        <w:rPr>
          <w:rFonts w:cs="Calibri"/>
        </w:rPr>
        <w:t>.10</w:t>
      </w:r>
      <w:r w:rsidR="00176C24" w:rsidRPr="00CA5B8E">
        <w:rPr>
          <w:rFonts w:cs="Calibri"/>
        </w:rPr>
        <w:t>.2023</w:t>
      </w:r>
      <w:r w:rsidR="007664CF" w:rsidRPr="00CA5B8E">
        <w:rPr>
          <w:rFonts w:cs="Calibri"/>
        </w:rPr>
        <w:t xml:space="preserve"> r.</w:t>
      </w:r>
    </w:p>
    <w:sectPr w:rsidR="00C274F3" w:rsidRPr="00943150" w:rsidSect="002739A0">
      <w:footerReference w:type="even" r:id="rId8"/>
      <w:footerReference w:type="defaul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34" w:rsidRDefault="00525334">
      <w:r>
        <w:separator/>
      </w:r>
    </w:p>
  </w:endnote>
  <w:endnote w:type="continuationSeparator" w:id="0">
    <w:p w:rsidR="00525334" w:rsidRDefault="0052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34" w:rsidRDefault="00525334" w:rsidP="006A42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5334" w:rsidRDefault="00525334" w:rsidP="002F538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34" w:rsidRPr="00761819" w:rsidRDefault="00525334">
    <w:pPr>
      <w:pStyle w:val="Stopka"/>
      <w:jc w:val="center"/>
      <w:rPr>
        <w:rFonts w:cs="Calibri"/>
      </w:rPr>
    </w:pPr>
    <w:r w:rsidRPr="00761819">
      <w:rPr>
        <w:rFonts w:cs="Calibri"/>
      </w:rPr>
      <w:fldChar w:fldCharType="begin"/>
    </w:r>
    <w:r w:rsidRPr="00761819">
      <w:rPr>
        <w:rFonts w:cs="Calibri"/>
      </w:rPr>
      <w:instrText xml:space="preserve"> PAGE   \* MERGEFORMAT </w:instrText>
    </w:r>
    <w:r w:rsidRPr="00761819">
      <w:rPr>
        <w:rFonts w:cs="Calibri"/>
      </w:rPr>
      <w:fldChar w:fldCharType="separate"/>
    </w:r>
    <w:r w:rsidR="00A64236">
      <w:rPr>
        <w:rFonts w:cs="Calibri"/>
        <w:noProof/>
      </w:rPr>
      <w:t>8</w:t>
    </w:r>
    <w:r w:rsidRPr="00761819">
      <w:rPr>
        <w:rFonts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334" w:rsidRDefault="0052533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42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34" w:rsidRDefault="00525334">
      <w:r>
        <w:separator/>
      </w:r>
    </w:p>
  </w:footnote>
  <w:footnote w:type="continuationSeparator" w:id="0">
    <w:p w:rsidR="00525334" w:rsidRDefault="0052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0EBEE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3C5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586D7D"/>
    <w:multiLevelType w:val="hybridMultilevel"/>
    <w:tmpl w:val="6952D31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293F61"/>
    <w:multiLevelType w:val="hybridMultilevel"/>
    <w:tmpl w:val="53C29E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30378"/>
    <w:multiLevelType w:val="hybridMultilevel"/>
    <w:tmpl w:val="11401D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C2594"/>
    <w:multiLevelType w:val="hybridMultilevel"/>
    <w:tmpl w:val="C6CC3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82C04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462C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B94B93"/>
    <w:multiLevelType w:val="multilevel"/>
    <w:tmpl w:val="50E4C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9D38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8802C7"/>
    <w:multiLevelType w:val="hybridMultilevel"/>
    <w:tmpl w:val="87EE46D8"/>
    <w:lvl w:ilvl="0" w:tplc="04150005">
      <w:start w:val="1"/>
      <w:numFmt w:val="bullet"/>
      <w:lvlText w:val=""/>
      <w:lvlJc w:val="left"/>
      <w:pPr>
        <w:ind w:left="13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1" w15:restartNumberingAfterBreak="0">
    <w:nsid w:val="2345464F"/>
    <w:multiLevelType w:val="hybridMultilevel"/>
    <w:tmpl w:val="031830F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109A1"/>
    <w:multiLevelType w:val="hybridMultilevel"/>
    <w:tmpl w:val="93386C96"/>
    <w:lvl w:ilvl="0" w:tplc="96DCEA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75DAB"/>
    <w:multiLevelType w:val="hybridMultilevel"/>
    <w:tmpl w:val="88F219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14287"/>
    <w:multiLevelType w:val="multilevel"/>
    <w:tmpl w:val="DFE28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C467DC3"/>
    <w:multiLevelType w:val="multilevel"/>
    <w:tmpl w:val="5C826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3420C3B"/>
    <w:multiLevelType w:val="hybridMultilevel"/>
    <w:tmpl w:val="65DE7B14"/>
    <w:lvl w:ilvl="0" w:tplc="49048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E1C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11D1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14F11A1"/>
    <w:multiLevelType w:val="hybridMultilevel"/>
    <w:tmpl w:val="ED544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31950"/>
    <w:multiLevelType w:val="hybridMultilevel"/>
    <w:tmpl w:val="1E10CF7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6C17C56"/>
    <w:multiLevelType w:val="hybridMultilevel"/>
    <w:tmpl w:val="70364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A00E6"/>
    <w:multiLevelType w:val="multilevel"/>
    <w:tmpl w:val="6F6C0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E0C2402"/>
    <w:multiLevelType w:val="hybridMultilevel"/>
    <w:tmpl w:val="341C662A"/>
    <w:lvl w:ilvl="0" w:tplc="0415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4" w15:restartNumberingAfterBreak="0">
    <w:nsid w:val="726C66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3B371C2"/>
    <w:multiLevelType w:val="hybridMultilevel"/>
    <w:tmpl w:val="F482B5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A681A"/>
    <w:multiLevelType w:val="hybridMultilevel"/>
    <w:tmpl w:val="F5C42222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63B38"/>
    <w:multiLevelType w:val="multilevel"/>
    <w:tmpl w:val="1D8272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20"/>
  </w:num>
  <w:num w:numId="6">
    <w:abstractNumId w:val="13"/>
  </w:num>
  <w:num w:numId="7">
    <w:abstractNumId w:val="4"/>
  </w:num>
  <w:num w:numId="8">
    <w:abstractNumId w:val="10"/>
  </w:num>
  <w:num w:numId="9">
    <w:abstractNumId w:val="25"/>
  </w:num>
  <w:num w:numId="10">
    <w:abstractNumId w:val="2"/>
  </w:num>
  <w:num w:numId="11">
    <w:abstractNumId w:val="14"/>
  </w:num>
  <w:num w:numId="12">
    <w:abstractNumId w:val="1"/>
  </w:num>
  <w:num w:numId="13">
    <w:abstractNumId w:val="18"/>
  </w:num>
  <w:num w:numId="14">
    <w:abstractNumId w:val="7"/>
  </w:num>
  <w:num w:numId="15">
    <w:abstractNumId w:val="27"/>
  </w:num>
  <w:num w:numId="16">
    <w:abstractNumId w:val="8"/>
  </w:num>
  <w:num w:numId="17">
    <w:abstractNumId w:val="6"/>
  </w:num>
  <w:num w:numId="18">
    <w:abstractNumId w:val="22"/>
  </w:num>
  <w:num w:numId="19">
    <w:abstractNumId w:val="23"/>
  </w:num>
  <w:num w:numId="20">
    <w:abstractNumId w:val="26"/>
  </w:num>
  <w:num w:numId="21">
    <w:abstractNumId w:val="21"/>
  </w:num>
  <w:num w:numId="22">
    <w:abstractNumId w:val="0"/>
  </w:num>
  <w:num w:numId="23">
    <w:abstractNumId w:val="16"/>
  </w:num>
  <w:num w:numId="24">
    <w:abstractNumId w:val="17"/>
  </w:num>
  <w:num w:numId="25">
    <w:abstractNumId w:val="24"/>
  </w:num>
  <w:num w:numId="26">
    <w:abstractNumId w:val="9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autoFormatOverride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5B"/>
    <w:rsid w:val="000000C3"/>
    <w:rsid w:val="00003065"/>
    <w:rsid w:val="00003336"/>
    <w:rsid w:val="00003ADA"/>
    <w:rsid w:val="000040F4"/>
    <w:rsid w:val="00004886"/>
    <w:rsid w:val="00004B13"/>
    <w:rsid w:val="00005F05"/>
    <w:rsid w:val="000060E3"/>
    <w:rsid w:val="00006981"/>
    <w:rsid w:val="00006C3E"/>
    <w:rsid w:val="000117E1"/>
    <w:rsid w:val="00011BFA"/>
    <w:rsid w:val="00011E60"/>
    <w:rsid w:val="00012281"/>
    <w:rsid w:val="00015A4B"/>
    <w:rsid w:val="00016DC4"/>
    <w:rsid w:val="00020523"/>
    <w:rsid w:val="00021686"/>
    <w:rsid w:val="00022A1A"/>
    <w:rsid w:val="00022BD3"/>
    <w:rsid w:val="000261EC"/>
    <w:rsid w:val="00030D5A"/>
    <w:rsid w:val="00031140"/>
    <w:rsid w:val="00031D0F"/>
    <w:rsid w:val="00034AB2"/>
    <w:rsid w:val="00035DF2"/>
    <w:rsid w:val="0003601B"/>
    <w:rsid w:val="000370E2"/>
    <w:rsid w:val="00037254"/>
    <w:rsid w:val="00040E1D"/>
    <w:rsid w:val="00041138"/>
    <w:rsid w:val="000419FE"/>
    <w:rsid w:val="0004228C"/>
    <w:rsid w:val="00042705"/>
    <w:rsid w:val="00043FCE"/>
    <w:rsid w:val="00046D66"/>
    <w:rsid w:val="00050EAA"/>
    <w:rsid w:val="000541B9"/>
    <w:rsid w:val="00055CFD"/>
    <w:rsid w:val="00055E37"/>
    <w:rsid w:val="000573FC"/>
    <w:rsid w:val="0005776E"/>
    <w:rsid w:val="00062CDE"/>
    <w:rsid w:val="00062D47"/>
    <w:rsid w:val="00065297"/>
    <w:rsid w:val="000677E8"/>
    <w:rsid w:val="0006799C"/>
    <w:rsid w:val="000724F7"/>
    <w:rsid w:val="00073EF1"/>
    <w:rsid w:val="000748A1"/>
    <w:rsid w:val="00075EAA"/>
    <w:rsid w:val="0007676F"/>
    <w:rsid w:val="00076AA1"/>
    <w:rsid w:val="00076AB1"/>
    <w:rsid w:val="000776D7"/>
    <w:rsid w:val="00084EBA"/>
    <w:rsid w:val="000851E1"/>
    <w:rsid w:val="000859CD"/>
    <w:rsid w:val="00085C85"/>
    <w:rsid w:val="0008678F"/>
    <w:rsid w:val="00087B81"/>
    <w:rsid w:val="00090171"/>
    <w:rsid w:val="00090B20"/>
    <w:rsid w:val="000931CE"/>
    <w:rsid w:val="000962CE"/>
    <w:rsid w:val="0009675F"/>
    <w:rsid w:val="00097953"/>
    <w:rsid w:val="00097B92"/>
    <w:rsid w:val="000A1191"/>
    <w:rsid w:val="000A1CE3"/>
    <w:rsid w:val="000A20CD"/>
    <w:rsid w:val="000A3816"/>
    <w:rsid w:val="000A4F03"/>
    <w:rsid w:val="000A5271"/>
    <w:rsid w:val="000A6DBC"/>
    <w:rsid w:val="000A7EEF"/>
    <w:rsid w:val="000B0DA6"/>
    <w:rsid w:val="000B0EC1"/>
    <w:rsid w:val="000B1703"/>
    <w:rsid w:val="000B2643"/>
    <w:rsid w:val="000B2BE4"/>
    <w:rsid w:val="000B2D67"/>
    <w:rsid w:val="000B4424"/>
    <w:rsid w:val="000B5505"/>
    <w:rsid w:val="000C00B3"/>
    <w:rsid w:val="000C15A3"/>
    <w:rsid w:val="000C3610"/>
    <w:rsid w:val="000C373A"/>
    <w:rsid w:val="000C3FC0"/>
    <w:rsid w:val="000C5A24"/>
    <w:rsid w:val="000C5BE9"/>
    <w:rsid w:val="000C6AA5"/>
    <w:rsid w:val="000C6DBC"/>
    <w:rsid w:val="000C7C42"/>
    <w:rsid w:val="000D2051"/>
    <w:rsid w:val="000D3411"/>
    <w:rsid w:val="000D65D3"/>
    <w:rsid w:val="000E0B7B"/>
    <w:rsid w:val="000E161A"/>
    <w:rsid w:val="000E308C"/>
    <w:rsid w:val="000E36A6"/>
    <w:rsid w:val="000E3A1C"/>
    <w:rsid w:val="000E4440"/>
    <w:rsid w:val="000E7771"/>
    <w:rsid w:val="000E77EF"/>
    <w:rsid w:val="000E7856"/>
    <w:rsid w:val="000F152F"/>
    <w:rsid w:val="000F2FBD"/>
    <w:rsid w:val="000F5A14"/>
    <w:rsid w:val="000F64E6"/>
    <w:rsid w:val="000F6ABD"/>
    <w:rsid w:val="000F6BA6"/>
    <w:rsid w:val="000F766D"/>
    <w:rsid w:val="00100123"/>
    <w:rsid w:val="001003BE"/>
    <w:rsid w:val="0010076D"/>
    <w:rsid w:val="00100ECF"/>
    <w:rsid w:val="00101150"/>
    <w:rsid w:val="001014F1"/>
    <w:rsid w:val="00103668"/>
    <w:rsid w:val="00104208"/>
    <w:rsid w:val="001056F3"/>
    <w:rsid w:val="0010655A"/>
    <w:rsid w:val="00106E80"/>
    <w:rsid w:val="001114A9"/>
    <w:rsid w:val="0011272A"/>
    <w:rsid w:val="00114E66"/>
    <w:rsid w:val="0011509C"/>
    <w:rsid w:val="0011536D"/>
    <w:rsid w:val="00115F54"/>
    <w:rsid w:val="001176CC"/>
    <w:rsid w:val="0012142F"/>
    <w:rsid w:val="00122165"/>
    <w:rsid w:val="001225AC"/>
    <w:rsid w:val="00123CAF"/>
    <w:rsid w:val="00124AFF"/>
    <w:rsid w:val="00124CDF"/>
    <w:rsid w:val="00127133"/>
    <w:rsid w:val="001276E3"/>
    <w:rsid w:val="00130F98"/>
    <w:rsid w:val="001320E1"/>
    <w:rsid w:val="00132719"/>
    <w:rsid w:val="0013381F"/>
    <w:rsid w:val="001346C4"/>
    <w:rsid w:val="00134C7A"/>
    <w:rsid w:val="00136F75"/>
    <w:rsid w:val="00137664"/>
    <w:rsid w:val="00140459"/>
    <w:rsid w:val="001417B4"/>
    <w:rsid w:val="0014186A"/>
    <w:rsid w:val="00142809"/>
    <w:rsid w:val="001443AD"/>
    <w:rsid w:val="0014472B"/>
    <w:rsid w:val="001460A0"/>
    <w:rsid w:val="001465C1"/>
    <w:rsid w:val="001507FD"/>
    <w:rsid w:val="001508C8"/>
    <w:rsid w:val="00151C41"/>
    <w:rsid w:val="001534E3"/>
    <w:rsid w:val="00153B20"/>
    <w:rsid w:val="00157F2C"/>
    <w:rsid w:val="00160D8D"/>
    <w:rsid w:val="00160DA9"/>
    <w:rsid w:val="00161149"/>
    <w:rsid w:val="001636C2"/>
    <w:rsid w:val="00166088"/>
    <w:rsid w:val="001660DB"/>
    <w:rsid w:val="0016695E"/>
    <w:rsid w:val="00166AB0"/>
    <w:rsid w:val="00166CFB"/>
    <w:rsid w:val="00167F74"/>
    <w:rsid w:val="0017033E"/>
    <w:rsid w:val="001711A1"/>
    <w:rsid w:val="00171E8E"/>
    <w:rsid w:val="0017222D"/>
    <w:rsid w:val="001736BC"/>
    <w:rsid w:val="001748D4"/>
    <w:rsid w:val="001754F8"/>
    <w:rsid w:val="00175930"/>
    <w:rsid w:val="00176A3E"/>
    <w:rsid w:val="00176C24"/>
    <w:rsid w:val="00176E3A"/>
    <w:rsid w:val="001771BC"/>
    <w:rsid w:val="001818DF"/>
    <w:rsid w:val="00183175"/>
    <w:rsid w:val="001837D7"/>
    <w:rsid w:val="00183CE8"/>
    <w:rsid w:val="001911C2"/>
    <w:rsid w:val="00193EB1"/>
    <w:rsid w:val="001943D7"/>
    <w:rsid w:val="00195F82"/>
    <w:rsid w:val="00196F62"/>
    <w:rsid w:val="001977BB"/>
    <w:rsid w:val="001A1A5D"/>
    <w:rsid w:val="001A2E84"/>
    <w:rsid w:val="001A30BE"/>
    <w:rsid w:val="001A30DF"/>
    <w:rsid w:val="001A4809"/>
    <w:rsid w:val="001A78D3"/>
    <w:rsid w:val="001A7A87"/>
    <w:rsid w:val="001B00DB"/>
    <w:rsid w:val="001B1023"/>
    <w:rsid w:val="001B2657"/>
    <w:rsid w:val="001B469F"/>
    <w:rsid w:val="001B5B65"/>
    <w:rsid w:val="001C0275"/>
    <w:rsid w:val="001C2DE4"/>
    <w:rsid w:val="001C4692"/>
    <w:rsid w:val="001C50BD"/>
    <w:rsid w:val="001C5525"/>
    <w:rsid w:val="001C5D86"/>
    <w:rsid w:val="001C7844"/>
    <w:rsid w:val="001D0240"/>
    <w:rsid w:val="001D0A94"/>
    <w:rsid w:val="001D1454"/>
    <w:rsid w:val="001D1D61"/>
    <w:rsid w:val="001D3181"/>
    <w:rsid w:val="001D395A"/>
    <w:rsid w:val="001D3B95"/>
    <w:rsid w:val="001D5504"/>
    <w:rsid w:val="001D7F62"/>
    <w:rsid w:val="001E182C"/>
    <w:rsid w:val="001E3717"/>
    <w:rsid w:val="001E419E"/>
    <w:rsid w:val="001E496C"/>
    <w:rsid w:val="001E74AF"/>
    <w:rsid w:val="001F32B0"/>
    <w:rsid w:val="001F44E7"/>
    <w:rsid w:val="001F46C6"/>
    <w:rsid w:val="001F5D40"/>
    <w:rsid w:val="001F7212"/>
    <w:rsid w:val="00201BFE"/>
    <w:rsid w:val="002042A9"/>
    <w:rsid w:val="00210104"/>
    <w:rsid w:val="0021051A"/>
    <w:rsid w:val="00212571"/>
    <w:rsid w:val="00213ABC"/>
    <w:rsid w:val="00213EC2"/>
    <w:rsid w:val="002148AB"/>
    <w:rsid w:val="00216933"/>
    <w:rsid w:val="00216E19"/>
    <w:rsid w:val="0021740A"/>
    <w:rsid w:val="002231E0"/>
    <w:rsid w:val="00226E74"/>
    <w:rsid w:val="00227523"/>
    <w:rsid w:val="00227D4A"/>
    <w:rsid w:val="00230039"/>
    <w:rsid w:val="00230EAE"/>
    <w:rsid w:val="00231CE5"/>
    <w:rsid w:val="0023270E"/>
    <w:rsid w:val="00233F89"/>
    <w:rsid w:val="002353F2"/>
    <w:rsid w:val="00237886"/>
    <w:rsid w:val="00240988"/>
    <w:rsid w:val="00241392"/>
    <w:rsid w:val="002414C7"/>
    <w:rsid w:val="0024235B"/>
    <w:rsid w:val="00242CAC"/>
    <w:rsid w:val="00244FB1"/>
    <w:rsid w:val="00245007"/>
    <w:rsid w:val="00245C05"/>
    <w:rsid w:val="002478D2"/>
    <w:rsid w:val="00247E61"/>
    <w:rsid w:val="00250C45"/>
    <w:rsid w:val="00250E3A"/>
    <w:rsid w:val="002533F1"/>
    <w:rsid w:val="002535A7"/>
    <w:rsid w:val="00253BCE"/>
    <w:rsid w:val="00254440"/>
    <w:rsid w:val="00257045"/>
    <w:rsid w:val="002574FD"/>
    <w:rsid w:val="00260B73"/>
    <w:rsid w:val="0026139E"/>
    <w:rsid w:val="0026155E"/>
    <w:rsid w:val="002630DB"/>
    <w:rsid w:val="00263213"/>
    <w:rsid w:val="0026398B"/>
    <w:rsid w:val="00263CEC"/>
    <w:rsid w:val="002677E4"/>
    <w:rsid w:val="0027255E"/>
    <w:rsid w:val="00273678"/>
    <w:rsid w:val="002739A0"/>
    <w:rsid w:val="002754A5"/>
    <w:rsid w:val="002810FE"/>
    <w:rsid w:val="00282554"/>
    <w:rsid w:val="0028444D"/>
    <w:rsid w:val="00286A13"/>
    <w:rsid w:val="00286EF9"/>
    <w:rsid w:val="0029175D"/>
    <w:rsid w:val="00292F69"/>
    <w:rsid w:val="0029497F"/>
    <w:rsid w:val="00294CBC"/>
    <w:rsid w:val="00295FEE"/>
    <w:rsid w:val="002A001B"/>
    <w:rsid w:val="002A134E"/>
    <w:rsid w:val="002A261F"/>
    <w:rsid w:val="002A32B6"/>
    <w:rsid w:val="002A45FD"/>
    <w:rsid w:val="002B048A"/>
    <w:rsid w:val="002B10D1"/>
    <w:rsid w:val="002B187D"/>
    <w:rsid w:val="002B2666"/>
    <w:rsid w:val="002B2E61"/>
    <w:rsid w:val="002B4704"/>
    <w:rsid w:val="002B553F"/>
    <w:rsid w:val="002B646A"/>
    <w:rsid w:val="002C0275"/>
    <w:rsid w:val="002C0CA9"/>
    <w:rsid w:val="002C3D95"/>
    <w:rsid w:val="002C528A"/>
    <w:rsid w:val="002C6C9D"/>
    <w:rsid w:val="002D0E3F"/>
    <w:rsid w:val="002D4B34"/>
    <w:rsid w:val="002D618E"/>
    <w:rsid w:val="002E18DF"/>
    <w:rsid w:val="002E202F"/>
    <w:rsid w:val="002E4197"/>
    <w:rsid w:val="002E70A2"/>
    <w:rsid w:val="002E7FB0"/>
    <w:rsid w:val="002F1285"/>
    <w:rsid w:val="002F2BAF"/>
    <w:rsid w:val="002F5387"/>
    <w:rsid w:val="00301A8B"/>
    <w:rsid w:val="0030383C"/>
    <w:rsid w:val="00304347"/>
    <w:rsid w:val="00304E67"/>
    <w:rsid w:val="0030773D"/>
    <w:rsid w:val="00311EF7"/>
    <w:rsid w:val="00315746"/>
    <w:rsid w:val="00315F56"/>
    <w:rsid w:val="003216EE"/>
    <w:rsid w:val="00323F1C"/>
    <w:rsid w:val="00326C6D"/>
    <w:rsid w:val="003275CC"/>
    <w:rsid w:val="003300B8"/>
    <w:rsid w:val="00330507"/>
    <w:rsid w:val="00330682"/>
    <w:rsid w:val="003315C5"/>
    <w:rsid w:val="00332D5D"/>
    <w:rsid w:val="003345CA"/>
    <w:rsid w:val="003358A3"/>
    <w:rsid w:val="00336065"/>
    <w:rsid w:val="0033678C"/>
    <w:rsid w:val="00337DCF"/>
    <w:rsid w:val="0034299B"/>
    <w:rsid w:val="00344BDF"/>
    <w:rsid w:val="00346C4E"/>
    <w:rsid w:val="003500A7"/>
    <w:rsid w:val="003514DA"/>
    <w:rsid w:val="003523BD"/>
    <w:rsid w:val="00352F71"/>
    <w:rsid w:val="00353C0C"/>
    <w:rsid w:val="00355DC2"/>
    <w:rsid w:val="0035642D"/>
    <w:rsid w:val="003564F7"/>
    <w:rsid w:val="00356538"/>
    <w:rsid w:val="00356987"/>
    <w:rsid w:val="00361492"/>
    <w:rsid w:val="00361E61"/>
    <w:rsid w:val="003626D6"/>
    <w:rsid w:val="00363E5F"/>
    <w:rsid w:val="003705AA"/>
    <w:rsid w:val="0037254A"/>
    <w:rsid w:val="003729DA"/>
    <w:rsid w:val="003729E7"/>
    <w:rsid w:val="003738B4"/>
    <w:rsid w:val="00373F5F"/>
    <w:rsid w:val="00380EBD"/>
    <w:rsid w:val="00381C88"/>
    <w:rsid w:val="00382212"/>
    <w:rsid w:val="003831BA"/>
    <w:rsid w:val="00383A53"/>
    <w:rsid w:val="0038528E"/>
    <w:rsid w:val="00386453"/>
    <w:rsid w:val="00387175"/>
    <w:rsid w:val="003911D0"/>
    <w:rsid w:val="00393BE4"/>
    <w:rsid w:val="00395905"/>
    <w:rsid w:val="00395D80"/>
    <w:rsid w:val="00396C3F"/>
    <w:rsid w:val="003A0A60"/>
    <w:rsid w:val="003A0BF2"/>
    <w:rsid w:val="003A1562"/>
    <w:rsid w:val="003A26D3"/>
    <w:rsid w:val="003A2CD1"/>
    <w:rsid w:val="003A2EEE"/>
    <w:rsid w:val="003A3C1D"/>
    <w:rsid w:val="003A3FF7"/>
    <w:rsid w:val="003A488D"/>
    <w:rsid w:val="003A7DE7"/>
    <w:rsid w:val="003B209B"/>
    <w:rsid w:val="003B249D"/>
    <w:rsid w:val="003B3B12"/>
    <w:rsid w:val="003B4CC4"/>
    <w:rsid w:val="003B54D5"/>
    <w:rsid w:val="003B5521"/>
    <w:rsid w:val="003B5959"/>
    <w:rsid w:val="003B7547"/>
    <w:rsid w:val="003C1CDD"/>
    <w:rsid w:val="003C20D7"/>
    <w:rsid w:val="003C2121"/>
    <w:rsid w:val="003C239B"/>
    <w:rsid w:val="003C2869"/>
    <w:rsid w:val="003C2935"/>
    <w:rsid w:val="003C2AC6"/>
    <w:rsid w:val="003C2C7D"/>
    <w:rsid w:val="003C3581"/>
    <w:rsid w:val="003D0532"/>
    <w:rsid w:val="003D10F8"/>
    <w:rsid w:val="003D1E28"/>
    <w:rsid w:val="003D2C56"/>
    <w:rsid w:val="003D4029"/>
    <w:rsid w:val="003D5474"/>
    <w:rsid w:val="003D60F9"/>
    <w:rsid w:val="003D7ECE"/>
    <w:rsid w:val="003E3352"/>
    <w:rsid w:val="003E3BBB"/>
    <w:rsid w:val="003E412C"/>
    <w:rsid w:val="003E645F"/>
    <w:rsid w:val="003E6DD9"/>
    <w:rsid w:val="003E778E"/>
    <w:rsid w:val="003E782E"/>
    <w:rsid w:val="003F072C"/>
    <w:rsid w:val="003F1D25"/>
    <w:rsid w:val="003F22C5"/>
    <w:rsid w:val="003F29CF"/>
    <w:rsid w:val="003F4591"/>
    <w:rsid w:val="003F5E64"/>
    <w:rsid w:val="004010BD"/>
    <w:rsid w:val="004044AE"/>
    <w:rsid w:val="00404F58"/>
    <w:rsid w:val="00410534"/>
    <w:rsid w:val="00410CB5"/>
    <w:rsid w:val="00410F5E"/>
    <w:rsid w:val="00412AE0"/>
    <w:rsid w:val="004139BC"/>
    <w:rsid w:val="0041408D"/>
    <w:rsid w:val="004146F3"/>
    <w:rsid w:val="00415817"/>
    <w:rsid w:val="00416C2B"/>
    <w:rsid w:val="00416C59"/>
    <w:rsid w:val="0041757F"/>
    <w:rsid w:val="00422305"/>
    <w:rsid w:val="00423230"/>
    <w:rsid w:val="00425E64"/>
    <w:rsid w:val="004278B0"/>
    <w:rsid w:val="00427ED6"/>
    <w:rsid w:val="00430C00"/>
    <w:rsid w:val="00434422"/>
    <w:rsid w:val="00434621"/>
    <w:rsid w:val="00434C5F"/>
    <w:rsid w:val="00436796"/>
    <w:rsid w:val="00436B8F"/>
    <w:rsid w:val="00443998"/>
    <w:rsid w:val="00445530"/>
    <w:rsid w:val="0044646F"/>
    <w:rsid w:val="00447324"/>
    <w:rsid w:val="004500A8"/>
    <w:rsid w:val="0045034A"/>
    <w:rsid w:val="00451347"/>
    <w:rsid w:val="00451AB4"/>
    <w:rsid w:val="00455408"/>
    <w:rsid w:val="00455C77"/>
    <w:rsid w:val="00456C55"/>
    <w:rsid w:val="004571FF"/>
    <w:rsid w:val="00457F58"/>
    <w:rsid w:val="00462A10"/>
    <w:rsid w:val="00463B85"/>
    <w:rsid w:val="004651DB"/>
    <w:rsid w:val="00466F19"/>
    <w:rsid w:val="00470240"/>
    <w:rsid w:val="00470D7C"/>
    <w:rsid w:val="00471452"/>
    <w:rsid w:val="0047159D"/>
    <w:rsid w:val="00471CF2"/>
    <w:rsid w:val="0047374E"/>
    <w:rsid w:val="004747FA"/>
    <w:rsid w:val="00474882"/>
    <w:rsid w:val="004759DE"/>
    <w:rsid w:val="00481C34"/>
    <w:rsid w:val="0048222C"/>
    <w:rsid w:val="00482CD1"/>
    <w:rsid w:val="004839B7"/>
    <w:rsid w:val="00485099"/>
    <w:rsid w:val="004855F5"/>
    <w:rsid w:val="004916FA"/>
    <w:rsid w:val="00491B99"/>
    <w:rsid w:val="004929EB"/>
    <w:rsid w:val="0049345F"/>
    <w:rsid w:val="00493A67"/>
    <w:rsid w:val="004A293E"/>
    <w:rsid w:val="004A4D96"/>
    <w:rsid w:val="004A60CE"/>
    <w:rsid w:val="004A653E"/>
    <w:rsid w:val="004A703D"/>
    <w:rsid w:val="004B0C9F"/>
    <w:rsid w:val="004B289A"/>
    <w:rsid w:val="004B311B"/>
    <w:rsid w:val="004B3FB9"/>
    <w:rsid w:val="004B416C"/>
    <w:rsid w:val="004B5E0B"/>
    <w:rsid w:val="004B6414"/>
    <w:rsid w:val="004B69FB"/>
    <w:rsid w:val="004B717F"/>
    <w:rsid w:val="004C0070"/>
    <w:rsid w:val="004C1666"/>
    <w:rsid w:val="004C3719"/>
    <w:rsid w:val="004C4779"/>
    <w:rsid w:val="004D0BE0"/>
    <w:rsid w:val="004D0EE4"/>
    <w:rsid w:val="004D1AD2"/>
    <w:rsid w:val="004D2DE0"/>
    <w:rsid w:val="004D404A"/>
    <w:rsid w:val="004D5DB8"/>
    <w:rsid w:val="004D78DF"/>
    <w:rsid w:val="004D7E22"/>
    <w:rsid w:val="004E1EF5"/>
    <w:rsid w:val="004E2632"/>
    <w:rsid w:val="004E287F"/>
    <w:rsid w:val="004E2D26"/>
    <w:rsid w:val="004E3C7D"/>
    <w:rsid w:val="004E517A"/>
    <w:rsid w:val="004F0DF2"/>
    <w:rsid w:val="004F59E8"/>
    <w:rsid w:val="004F7D86"/>
    <w:rsid w:val="00500DD7"/>
    <w:rsid w:val="005016BE"/>
    <w:rsid w:val="00501BCC"/>
    <w:rsid w:val="00504562"/>
    <w:rsid w:val="00507C2A"/>
    <w:rsid w:val="00510EDE"/>
    <w:rsid w:val="00513490"/>
    <w:rsid w:val="0051372C"/>
    <w:rsid w:val="00516C60"/>
    <w:rsid w:val="00516ECA"/>
    <w:rsid w:val="00517F36"/>
    <w:rsid w:val="00520E18"/>
    <w:rsid w:val="00520E20"/>
    <w:rsid w:val="00521F7A"/>
    <w:rsid w:val="00522828"/>
    <w:rsid w:val="00523011"/>
    <w:rsid w:val="00525334"/>
    <w:rsid w:val="00530E7C"/>
    <w:rsid w:val="0053313F"/>
    <w:rsid w:val="005335F8"/>
    <w:rsid w:val="005349F0"/>
    <w:rsid w:val="00536D14"/>
    <w:rsid w:val="00536EF4"/>
    <w:rsid w:val="005429FE"/>
    <w:rsid w:val="00542A51"/>
    <w:rsid w:val="0054310C"/>
    <w:rsid w:val="00543887"/>
    <w:rsid w:val="00543AF9"/>
    <w:rsid w:val="005449A7"/>
    <w:rsid w:val="00544D12"/>
    <w:rsid w:val="005500E0"/>
    <w:rsid w:val="0055039F"/>
    <w:rsid w:val="00551217"/>
    <w:rsid w:val="005526E5"/>
    <w:rsid w:val="0055321A"/>
    <w:rsid w:val="00556A15"/>
    <w:rsid w:val="00560306"/>
    <w:rsid w:val="005624A0"/>
    <w:rsid w:val="0056431C"/>
    <w:rsid w:val="00565993"/>
    <w:rsid w:val="00565DDE"/>
    <w:rsid w:val="00573137"/>
    <w:rsid w:val="0057384C"/>
    <w:rsid w:val="00575ABC"/>
    <w:rsid w:val="0057653C"/>
    <w:rsid w:val="00576FC3"/>
    <w:rsid w:val="00580BE7"/>
    <w:rsid w:val="00580C09"/>
    <w:rsid w:val="00583AA2"/>
    <w:rsid w:val="00583D55"/>
    <w:rsid w:val="0058508F"/>
    <w:rsid w:val="0058532A"/>
    <w:rsid w:val="00592EA2"/>
    <w:rsid w:val="00593658"/>
    <w:rsid w:val="00593FFD"/>
    <w:rsid w:val="0059676C"/>
    <w:rsid w:val="005A02DA"/>
    <w:rsid w:val="005A0850"/>
    <w:rsid w:val="005A12E1"/>
    <w:rsid w:val="005A2CF4"/>
    <w:rsid w:val="005A3A94"/>
    <w:rsid w:val="005A3B31"/>
    <w:rsid w:val="005A4527"/>
    <w:rsid w:val="005A551E"/>
    <w:rsid w:val="005A7827"/>
    <w:rsid w:val="005B106F"/>
    <w:rsid w:val="005B14AE"/>
    <w:rsid w:val="005B34CE"/>
    <w:rsid w:val="005B538C"/>
    <w:rsid w:val="005C03AF"/>
    <w:rsid w:val="005C057F"/>
    <w:rsid w:val="005C1449"/>
    <w:rsid w:val="005C38E5"/>
    <w:rsid w:val="005C3A14"/>
    <w:rsid w:val="005C3FB5"/>
    <w:rsid w:val="005C72CF"/>
    <w:rsid w:val="005C7FBC"/>
    <w:rsid w:val="005D03D5"/>
    <w:rsid w:val="005D1DEF"/>
    <w:rsid w:val="005D2055"/>
    <w:rsid w:val="005D3F53"/>
    <w:rsid w:val="005D4590"/>
    <w:rsid w:val="005D6A82"/>
    <w:rsid w:val="005E0514"/>
    <w:rsid w:val="005E26B7"/>
    <w:rsid w:val="005E394C"/>
    <w:rsid w:val="005E4851"/>
    <w:rsid w:val="005E6FC3"/>
    <w:rsid w:val="005E7AC5"/>
    <w:rsid w:val="005F04EF"/>
    <w:rsid w:val="005F0608"/>
    <w:rsid w:val="005F40B0"/>
    <w:rsid w:val="005F5E72"/>
    <w:rsid w:val="005F60FD"/>
    <w:rsid w:val="005F6542"/>
    <w:rsid w:val="005F69DF"/>
    <w:rsid w:val="005F7173"/>
    <w:rsid w:val="005F73C9"/>
    <w:rsid w:val="006007C1"/>
    <w:rsid w:val="0060098B"/>
    <w:rsid w:val="00601CAC"/>
    <w:rsid w:val="006040D2"/>
    <w:rsid w:val="00605349"/>
    <w:rsid w:val="00605612"/>
    <w:rsid w:val="00606A79"/>
    <w:rsid w:val="006078E7"/>
    <w:rsid w:val="00611B2C"/>
    <w:rsid w:val="00611B42"/>
    <w:rsid w:val="00612DA3"/>
    <w:rsid w:val="0061369F"/>
    <w:rsid w:val="00613A8E"/>
    <w:rsid w:val="00615B41"/>
    <w:rsid w:val="00620087"/>
    <w:rsid w:val="0062064F"/>
    <w:rsid w:val="006215E1"/>
    <w:rsid w:val="0062272E"/>
    <w:rsid w:val="00624AE7"/>
    <w:rsid w:val="006251F1"/>
    <w:rsid w:val="006254BB"/>
    <w:rsid w:val="00625CD5"/>
    <w:rsid w:val="006270F4"/>
    <w:rsid w:val="0062743D"/>
    <w:rsid w:val="006276B9"/>
    <w:rsid w:val="006309A9"/>
    <w:rsid w:val="00631684"/>
    <w:rsid w:val="006329A4"/>
    <w:rsid w:val="00635298"/>
    <w:rsid w:val="00635C79"/>
    <w:rsid w:val="00635F67"/>
    <w:rsid w:val="00637798"/>
    <w:rsid w:val="00640183"/>
    <w:rsid w:val="00640E87"/>
    <w:rsid w:val="00641EBF"/>
    <w:rsid w:val="0064462C"/>
    <w:rsid w:val="00645E4E"/>
    <w:rsid w:val="006479D9"/>
    <w:rsid w:val="00650775"/>
    <w:rsid w:val="0065106A"/>
    <w:rsid w:val="006541DC"/>
    <w:rsid w:val="006551EB"/>
    <w:rsid w:val="006553CF"/>
    <w:rsid w:val="0065579B"/>
    <w:rsid w:val="00655BBD"/>
    <w:rsid w:val="006560A7"/>
    <w:rsid w:val="0066036D"/>
    <w:rsid w:val="00660798"/>
    <w:rsid w:val="00660982"/>
    <w:rsid w:val="00661F09"/>
    <w:rsid w:val="006621F4"/>
    <w:rsid w:val="00663D7E"/>
    <w:rsid w:val="00664E48"/>
    <w:rsid w:val="00665A22"/>
    <w:rsid w:val="00665F34"/>
    <w:rsid w:val="006661EA"/>
    <w:rsid w:val="006668CB"/>
    <w:rsid w:val="00666EF6"/>
    <w:rsid w:val="00667902"/>
    <w:rsid w:val="006713C7"/>
    <w:rsid w:val="00671BBF"/>
    <w:rsid w:val="00672658"/>
    <w:rsid w:val="00672E1B"/>
    <w:rsid w:val="00673C95"/>
    <w:rsid w:val="00674781"/>
    <w:rsid w:val="00674BB7"/>
    <w:rsid w:val="00675072"/>
    <w:rsid w:val="00675247"/>
    <w:rsid w:val="00675F36"/>
    <w:rsid w:val="00680090"/>
    <w:rsid w:val="006812EA"/>
    <w:rsid w:val="00684F26"/>
    <w:rsid w:val="00685919"/>
    <w:rsid w:val="00685E4F"/>
    <w:rsid w:val="006903B0"/>
    <w:rsid w:val="0069268E"/>
    <w:rsid w:val="00694DC1"/>
    <w:rsid w:val="00695E53"/>
    <w:rsid w:val="00695FD9"/>
    <w:rsid w:val="006A0882"/>
    <w:rsid w:val="006A0DA0"/>
    <w:rsid w:val="006A2BA2"/>
    <w:rsid w:val="006A2EC4"/>
    <w:rsid w:val="006A3864"/>
    <w:rsid w:val="006A422D"/>
    <w:rsid w:val="006A7F9D"/>
    <w:rsid w:val="006B3613"/>
    <w:rsid w:val="006B41B3"/>
    <w:rsid w:val="006B655B"/>
    <w:rsid w:val="006B6A01"/>
    <w:rsid w:val="006B6CEC"/>
    <w:rsid w:val="006C0C7B"/>
    <w:rsid w:val="006C2658"/>
    <w:rsid w:val="006C3340"/>
    <w:rsid w:val="006C5C6C"/>
    <w:rsid w:val="006C7F31"/>
    <w:rsid w:val="006D0E50"/>
    <w:rsid w:val="006D0EF3"/>
    <w:rsid w:val="006D0FA2"/>
    <w:rsid w:val="006D1205"/>
    <w:rsid w:val="006D1890"/>
    <w:rsid w:val="006D1BDB"/>
    <w:rsid w:val="006D457A"/>
    <w:rsid w:val="006D4C34"/>
    <w:rsid w:val="006D54D8"/>
    <w:rsid w:val="006D664F"/>
    <w:rsid w:val="006E080F"/>
    <w:rsid w:val="006E0CE4"/>
    <w:rsid w:val="006E185D"/>
    <w:rsid w:val="006E2011"/>
    <w:rsid w:val="006E364A"/>
    <w:rsid w:val="006E52B1"/>
    <w:rsid w:val="006F2E27"/>
    <w:rsid w:val="006F3A72"/>
    <w:rsid w:val="006F3E91"/>
    <w:rsid w:val="006F4C6F"/>
    <w:rsid w:val="006F5FDC"/>
    <w:rsid w:val="006F6664"/>
    <w:rsid w:val="006F6D0F"/>
    <w:rsid w:val="0070072F"/>
    <w:rsid w:val="0070229F"/>
    <w:rsid w:val="00702B74"/>
    <w:rsid w:val="00705855"/>
    <w:rsid w:val="00707684"/>
    <w:rsid w:val="0071229A"/>
    <w:rsid w:val="0071324D"/>
    <w:rsid w:val="007168D8"/>
    <w:rsid w:val="007173F2"/>
    <w:rsid w:val="00717F41"/>
    <w:rsid w:val="00721819"/>
    <w:rsid w:val="007227F5"/>
    <w:rsid w:val="007238BF"/>
    <w:rsid w:val="00724DC1"/>
    <w:rsid w:val="00726703"/>
    <w:rsid w:val="00726DD0"/>
    <w:rsid w:val="00726E66"/>
    <w:rsid w:val="00731764"/>
    <w:rsid w:val="00732C6A"/>
    <w:rsid w:val="007336EA"/>
    <w:rsid w:val="0073394A"/>
    <w:rsid w:val="00734A01"/>
    <w:rsid w:val="00734B92"/>
    <w:rsid w:val="00734D03"/>
    <w:rsid w:val="0073539B"/>
    <w:rsid w:val="00735BD9"/>
    <w:rsid w:val="00737267"/>
    <w:rsid w:val="0074240F"/>
    <w:rsid w:val="00742432"/>
    <w:rsid w:val="00742AD0"/>
    <w:rsid w:val="007448C1"/>
    <w:rsid w:val="007450C6"/>
    <w:rsid w:val="0074662D"/>
    <w:rsid w:val="00746D79"/>
    <w:rsid w:val="007479C0"/>
    <w:rsid w:val="007515C4"/>
    <w:rsid w:val="00751C6F"/>
    <w:rsid w:val="00751E7A"/>
    <w:rsid w:val="00752A41"/>
    <w:rsid w:val="00752AC3"/>
    <w:rsid w:val="00754265"/>
    <w:rsid w:val="00754B64"/>
    <w:rsid w:val="00754BFE"/>
    <w:rsid w:val="0075756A"/>
    <w:rsid w:val="00757A42"/>
    <w:rsid w:val="0076003C"/>
    <w:rsid w:val="00760D8F"/>
    <w:rsid w:val="00761819"/>
    <w:rsid w:val="00761F17"/>
    <w:rsid w:val="00764438"/>
    <w:rsid w:val="00765832"/>
    <w:rsid w:val="00765AAE"/>
    <w:rsid w:val="007664CF"/>
    <w:rsid w:val="007676E3"/>
    <w:rsid w:val="00767FAC"/>
    <w:rsid w:val="007701DC"/>
    <w:rsid w:val="007703F0"/>
    <w:rsid w:val="0077206F"/>
    <w:rsid w:val="00772C57"/>
    <w:rsid w:val="00774ECD"/>
    <w:rsid w:val="00775173"/>
    <w:rsid w:val="00775325"/>
    <w:rsid w:val="00780C1C"/>
    <w:rsid w:val="00780DE0"/>
    <w:rsid w:val="00782A22"/>
    <w:rsid w:val="00783D80"/>
    <w:rsid w:val="007853DF"/>
    <w:rsid w:val="00785F1F"/>
    <w:rsid w:val="007866BC"/>
    <w:rsid w:val="00787244"/>
    <w:rsid w:val="00787925"/>
    <w:rsid w:val="007911A7"/>
    <w:rsid w:val="0079122B"/>
    <w:rsid w:val="00791557"/>
    <w:rsid w:val="00791919"/>
    <w:rsid w:val="0079256E"/>
    <w:rsid w:val="00792853"/>
    <w:rsid w:val="00792C4D"/>
    <w:rsid w:val="0079345B"/>
    <w:rsid w:val="007952D7"/>
    <w:rsid w:val="0079638D"/>
    <w:rsid w:val="00796A7D"/>
    <w:rsid w:val="0079747D"/>
    <w:rsid w:val="00797AF9"/>
    <w:rsid w:val="007A005F"/>
    <w:rsid w:val="007A037F"/>
    <w:rsid w:val="007A37C4"/>
    <w:rsid w:val="007A4433"/>
    <w:rsid w:val="007A5265"/>
    <w:rsid w:val="007A76E3"/>
    <w:rsid w:val="007A799E"/>
    <w:rsid w:val="007B000B"/>
    <w:rsid w:val="007B2EA1"/>
    <w:rsid w:val="007C1970"/>
    <w:rsid w:val="007C1C27"/>
    <w:rsid w:val="007C1E06"/>
    <w:rsid w:val="007C2042"/>
    <w:rsid w:val="007C373D"/>
    <w:rsid w:val="007C4159"/>
    <w:rsid w:val="007C422E"/>
    <w:rsid w:val="007C5F5B"/>
    <w:rsid w:val="007C648F"/>
    <w:rsid w:val="007C6831"/>
    <w:rsid w:val="007D2FCC"/>
    <w:rsid w:val="007D3812"/>
    <w:rsid w:val="007D4E9D"/>
    <w:rsid w:val="007D4ED5"/>
    <w:rsid w:val="007D59C3"/>
    <w:rsid w:val="007D6037"/>
    <w:rsid w:val="007D6B35"/>
    <w:rsid w:val="007D77B7"/>
    <w:rsid w:val="007E34DE"/>
    <w:rsid w:val="007E59AB"/>
    <w:rsid w:val="007E6634"/>
    <w:rsid w:val="007F19CC"/>
    <w:rsid w:val="007F386F"/>
    <w:rsid w:val="007F3E96"/>
    <w:rsid w:val="007F6C89"/>
    <w:rsid w:val="008014C9"/>
    <w:rsid w:val="00804374"/>
    <w:rsid w:val="00805044"/>
    <w:rsid w:val="0080564B"/>
    <w:rsid w:val="00805662"/>
    <w:rsid w:val="008100E6"/>
    <w:rsid w:val="008103F8"/>
    <w:rsid w:val="00810DCD"/>
    <w:rsid w:val="00811536"/>
    <w:rsid w:val="00812DE3"/>
    <w:rsid w:val="0081356B"/>
    <w:rsid w:val="008140AD"/>
    <w:rsid w:val="0081421C"/>
    <w:rsid w:val="008154AB"/>
    <w:rsid w:val="00815F6B"/>
    <w:rsid w:val="008160E9"/>
    <w:rsid w:val="0081628E"/>
    <w:rsid w:val="00816BB3"/>
    <w:rsid w:val="00820395"/>
    <w:rsid w:val="008217D8"/>
    <w:rsid w:val="00822D87"/>
    <w:rsid w:val="00824855"/>
    <w:rsid w:val="008248B4"/>
    <w:rsid w:val="008255F3"/>
    <w:rsid w:val="00830357"/>
    <w:rsid w:val="0083049E"/>
    <w:rsid w:val="00830698"/>
    <w:rsid w:val="00831B04"/>
    <w:rsid w:val="00831B5A"/>
    <w:rsid w:val="00831F55"/>
    <w:rsid w:val="00833513"/>
    <w:rsid w:val="008360C9"/>
    <w:rsid w:val="008364CA"/>
    <w:rsid w:val="008404F9"/>
    <w:rsid w:val="00840D69"/>
    <w:rsid w:val="00841981"/>
    <w:rsid w:val="00845904"/>
    <w:rsid w:val="00846F55"/>
    <w:rsid w:val="00847B7E"/>
    <w:rsid w:val="0085006C"/>
    <w:rsid w:val="00851507"/>
    <w:rsid w:val="00856EA5"/>
    <w:rsid w:val="00857402"/>
    <w:rsid w:val="008601FD"/>
    <w:rsid w:val="008613BA"/>
    <w:rsid w:val="00862388"/>
    <w:rsid w:val="0086350A"/>
    <w:rsid w:val="00863756"/>
    <w:rsid w:val="0086382A"/>
    <w:rsid w:val="0086476F"/>
    <w:rsid w:val="008670B1"/>
    <w:rsid w:val="008703B8"/>
    <w:rsid w:val="00871485"/>
    <w:rsid w:val="0087184A"/>
    <w:rsid w:val="00871AF0"/>
    <w:rsid w:val="00873144"/>
    <w:rsid w:val="00873E8A"/>
    <w:rsid w:val="00874AF2"/>
    <w:rsid w:val="0087544A"/>
    <w:rsid w:val="00875630"/>
    <w:rsid w:val="00876884"/>
    <w:rsid w:val="008801E3"/>
    <w:rsid w:val="008808DA"/>
    <w:rsid w:val="00881B9F"/>
    <w:rsid w:val="00882005"/>
    <w:rsid w:val="00882456"/>
    <w:rsid w:val="00882DB2"/>
    <w:rsid w:val="00883BE7"/>
    <w:rsid w:val="008862BB"/>
    <w:rsid w:val="008905DC"/>
    <w:rsid w:val="00891954"/>
    <w:rsid w:val="00892900"/>
    <w:rsid w:val="00895A00"/>
    <w:rsid w:val="00895F84"/>
    <w:rsid w:val="00896B68"/>
    <w:rsid w:val="00896D27"/>
    <w:rsid w:val="008A07B9"/>
    <w:rsid w:val="008A0AC9"/>
    <w:rsid w:val="008A0AD0"/>
    <w:rsid w:val="008A0F6B"/>
    <w:rsid w:val="008A19C2"/>
    <w:rsid w:val="008A2B14"/>
    <w:rsid w:val="008A2FBF"/>
    <w:rsid w:val="008A318C"/>
    <w:rsid w:val="008A5747"/>
    <w:rsid w:val="008A5B3E"/>
    <w:rsid w:val="008A5E7E"/>
    <w:rsid w:val="008B2782"/>
    <w:rsid w:val="008B3DDB"/>
    <w:rsid w:val="008B4A8F"/>
    <w:rsid w:val="008B624B"/>
    <w:rsid w:val="008B753C"/>
    <w:rsid w:val="008B76A2"/>
    <w:rsid w:val="008C0D57"/>
    <w:rsid w:val="008C17D5"/>
    <w:rsid w:val="008C1B45"/>
    <w:rsid w:val="008C1FCB"/>
    <w:rsid w:val="008C2040"/>
    <w:rsid w:val="008C22AD"/>
    <w:rsid w:val="008D405B"/>
    <w:rsid w:val="008D52BF"/>
    <w:rsid w:val="008E0D35"/>
    <w:rsid w:val="008E2CA4"/>
    <w:rsid w:val="008E32F8"/>
    <w:rsid w:val="008E42EA"/>
    <w:rsid w:val="008E59A3"/>
    <w:rsid w:val="008E7FE7"/>
    <w:rsid w:val="008F02F5"/>
    <w:rsid w:val="008F0741"/>
    <w:rsid w:val="008F09FB"/>
    <w:rsid w:val="008F1C6D"/>
    <w:rsid w:val="008F2C5E"/>
    <w:rsid w:val="008F3059"/>
    <w:rsid w:val="008F3E8E"/>
    <w:rsid w:val="008F4F5A"/>
    <w:rsid w:val="008F4FE3"/>
    <w:rsid w:val="008F7173"/>
    <w:rsid w:val="008F75E9"/>
    <w:rsid w:val="00903D24"/>
    <w:rsid w:val="00904B1C"/>
    <w:rsid w:val="00904DD2"/>
    <w:rsid w:val="00906CB5"/>
    <w:rsid w:val="0090712F"/>
    <w:rsid w:val="00911216"/>
    <w:rsid w:val="00912FC9"/>
    <w:rsid w:val="00913DBF"/>
    <w:rsid w:val="009141A4"/>
    <w:rsid w:val="00914AA0"/>
    <w:rsid w:val="009161A8"/>
    <w:rsid w:val="0091759D"/>
    <w:rsid w:val="00917A20"/>
    <w:rsid w:val="00917AEA"/>
    <w:rsid w:val="009209DD"/>
    <w:rsid w:val="009210C5"/>
    <w:rsid w:val="00922AD6"/>
    <w:rsid w:val="009232FB"/>
    <w:rsid w:val="00923E0D"/>
    <w:rsid w:val="00924A9F"/>
    <w:rsid w:val="00925CFF"/>
    <w:rsid w:val="0092638F"/>
    <w:rsid w:val="009300FA"/>
    <w:rsid w:val="009314CB"/>
    <w:rsid w:val="0093285C"/>
    <w:rsid w:val="00933843"/>
    <w:rsid w:val="00933B0A"/>
    <w:rsid w:val="00934DDE"/>
    <w:rsid w:val="009356E2"/>
    <w:rsid w:val="00935766"/>
    <w:rsid w:val="009363F6"/>
    <w:rsid w:val="00936D47"/>
    <w:rsid w:val="00940ECD"/>
    <w:rsid w:val="0094251C"/>
    <w:rsid w:val="00943150"/>
    <w:rsid w:val="009436DF"/>
    <w:rsid w:val="00943C8B"/>
    <w:rsid w:val="009445A7"/>
    <w:rsid w:val="00945C47"/>
    <w:rsid w:val="009466FF"/>
    <w:rsid w:val="009500B3"/>
    <w:rsid w:val="009500C1"/>
    <w:rsid w:val="009507E1"/>
    <w:rsid w:val="00950945"/>
    <w:rsid w:val="009522E4"/>
    <w:rsid w:val="00954BC7"/>
    <w:rsid w:val="00956461"/>
    <w:rsid w:val="00961CDC"/>
    <w:rsid w:val="00966195"/>
    <w:rsid w:val="0097018B"/>
    <w:rsid w:val="009719AF"/>
    <w:rsid w:val="009735F0"/>
    <w:rsid w:val="00974F8C"/>
    <w:rsid w:val="00975B93"/>
    <w:rsid w:val="00976675"/>
    <w:rsid w:val="00977AA1"/>
    <w:rsid w:val="0098073E"/>
    <w:rsid w:val="00982367"/>
    <w:rsid w:val="0098390B"/>
    <w:rsid w:val="00986840"/>
    <w:rsid w:val="009916BA"/>
    <w:rsid w:val="009925F6"/>
    <w:rsid w:val="00995197"/>
    <w:rsid w:val="00995F3D"/>
    <w:rsid w:val="009963E6"/>
    <w:rsid w:val="00997668"/>
    <w:rsid w:val="00997CAA"/>
    <w:rsid w:val="009A1B45"/>
    <w:rsid w:val="009A3EB5"/>
    <w:rsid w:val="009A738E"/>
    <w:rsid w:val="009A7645"/>
    <w:rsid w:val="009A772A"/>
    <w:rsid w:val="009B0580"/>
    <w:rsid w:val="009B30A5"/>
    <w:rsid w:val="009B401E"/>
    <w:rsid w:val="009B5248"/>
    <w:rsid w:val="009B6621"/>
    <w:rsid w:val="009B6B92"/>
    <w:rsid w:val="009C1573"/>
    <w:rsid w:val="009C1ECE"/>
    <w:rsid w:val="009C225D"/>
    <w:rsid w:val="009C28AC"/>
    <w:rsid w:val="009C39D6"/>
    <w:rsid w:val="009C3BAB"/>
    <w:rsid w:val="009C6748"/>
    <w:rsid w:val="009C695E"/>
    <w:rsid w:val="009D1711"/>
    <w:rsid w:val="009D1F45"/>
    <w:rsid w:val="009D4257"/>
    <w:rsid w:val="009D5AE0"/>
    <w:rsid w:val="009D5F63"/>
    <w:rsid w:val="009D7B5C"/>
    <w:rsid w:val="009E322D"/>
    <w:rsid w:val="009E5CBA"/>
    <w:rsid w:val="009E6AA9"/>
    <w:rsid w:val="009E746A"/>
    <w:rsid w:val="009E7CBC"/>
    <w:rsid w:val="009F1EF0"/>
    <w:rsid w:val="009F20DE"/>
    <w:rsid w:val="009F6034"/>
    <w:rsid w:val="00A0020B"/>
    <w:rsid w:val="00A006A4"/>
    <w:rsid w:val="00A014B4"/>
    <w:rsid w:val="00A02404"/>
    <w:rsid w:val="00A02BE6"/>
    <w:rsid w:val="00A04747"/>
    <w:rsid w:val="00A05BA2"/>
    <w:rsid w:val="00A07D39"/>
    <w:rsid w:val="00A07DD0"/>
    <w:rsid w:val="00A124F4"/>
    <w:rsid w:val="00A135B5"/>
    <w:rsid w:val="00A149EB"/>
    <w:rsid w:val="00A16A72"/>
    <w:rsid w:val="00A20BF3"/>
    <w:rsid w:val="00A21E0C"/>
    <w:rsid w:val="00A22441"/>
    <w:rsid w:val="00A22AD9"/>
    <w:rsid w:val="00A22C3D"/>
    <w:rsid w:val="00A22F9D"/>
    <w:rsid w:val="00A24AB7"/>
    <w:rsid w:val="00A2581C"/>
    <w:rsid w:val="00A2793F"/>
    <w:rsid w:val="00A30C54"/>
    <w:rsid w:val="00A30CDE"/>
    <w:rsid w:val="00A31A4F"/>
    <w:rsid w:val="00A31E16"/>
    <w:rsid w:val="00A31F2B"/>
    <w:rsid w:val="00A32558"/>
    <w:rsid w:val="00A327B3"/>
    <w:rsid w:val="00A32973"/>
    <w:rsid w:val="00A34414"/>
    <w:rsid w:val="00A34B21"/>
    <w:rsid w:val="00A377BE"/>
    <w:rsid w:val="00A37D0E"/>
    <w:rsid w:val="00A4046C"/>
    <w:rsid w:val="00A406EB"/>
    <w:rsid w:val="00A42341"/>
    <w:rsid w:val="00A44E65"/>
    <w:rsid w:val="00A452A8"/>
    <w:rsid w:val="00A508A2"/>
    <w:rsid w:val="00A51750"/>
    <w:rsid w:val="00A51E1B"/>
    <w:rsid w:val="00A53321"/>
    <w:rsid w:val="00A53538"/>
    <w:rsid w:val="00A53FAC"/>
    <w:rsid w:val="00A55AD0"/>
    <w:rsid w:val="00A56574"/>
    <w:rsid w:val="00A57F80"/>
    <w:rsid w:val="00A6156C"/>
    <w:rsid w:val="00A62845"/>
    <w:rsid w:val="00A6362C"/>
    <w:rsid w:val="00A63693"/>
    <w:rsid w:val="00A637AE"/>
    <w:rsid w:val="00A64236"/>
    <w:rsid w:val="00A64D72"/>
    <w:rsid w:val="00A65A0D"/>
    <w:rsid w:val="00A65C1C"/>
    <w:rsid w:val="00A662FC"/>
    <w:rsid w:val="00A70199"/>
    <w:rsid w:val="00A70583"/>
    <w:rsid w:val="00A70C1C"/>
    <w:rsid w:val="00A71F22"/>
    <w:rsid w:val="00A72401"/>
    <w:rsid w:val="00A726B6"/>
    <w:rsid w:val="00A72A22"/>
    <w:rsid w:val="00A733A1"/>
    <w:rsid w:val="00A73B7D"/>
    <w:rsid w:val="00A76F0A"/>
    <w:rsid w:val="00A7787F"/>
    <w:rsid w:val="00A81273"/>
    <w:rsid w:val="00A821A7"/>
    <w:rsid w:val="00A83622"/>
    <w:rsid w:val="00A839AD"/>
    <w:rsid w:val="00A83BB0"/>
    <w:rsid w:val="00A8427B"/>
    <w:rsid w:val="00A90FBE"/>
    <w:rsid w:val="00A91080"/>
    <w:rsid w:val="00A91543"/>
    <w:rsid w:val="00A9158C"/>
    <w:rsid w:val="00A92AB2"/>
    <w:rsid w:val="00A92BFD"/>
    <w:rsid w:val="00A92E8B"/>
    <w:rsid w:val="00A94A3B"/>
    <w:rsid w:val="00A9545E"/>
    <w:rsid w:val="00A956FD"/>
    <w:rsid w:val="00A96732"/>
    <w:rsid w:val="00AA0651"/>
    <w:rsid w:val="00AA5414"/>
    <w:rsid w:val="00AA56EE"/>
    <w:rsid w:val="00AA675F"/>
    <w:rsid w:val="00AB105A"/>
    <w:rsid w:val="00AB245E"/>
    <w:rsid w:val="00AB2AD8"/>
    <w:rsid w:val="00AB3359"/>
    <w:rsid w:val="00AB4334"/>
    <w:rsid w:val="00AB4392"/>
    <w:rsid w:val="00AB7534"/>
    <w:rsid w:val="00AC0213"/>
    <w:rsid w:val="00AC2B85"/>
    <w:rsid w:val="00AC4DA3"/>
    <w:rsid w:val="00AC5AF8"/>
    <w:rsid w:val="00AC5E1B"/>
    <w:rsid w:val="00AD1974"/>
    <w:rsid w:val="00AE0039"/>
    <w:rsid w:val="00AE0C8B"/>
    <w:rsid w:val="00AE1B9B"/>
    <w:rsid w:val="00AE2F3E"/>
    <w:rsid w:val="00AE3B84"/>
    <w:rsid w:val="00AE3BD8"/>
    <w:rsid w:val="00AF08AD"/>
    <w:rsid w:val="00AF0B68"/>
    <w:rsid w:val="00AF15E7"/>
    <w:rsid w:val="00AF1A84"/>
    <w:rsid w:val="00AF3141"/>
    <w:rsid w:val="00AF39C0"/>
    <w:rsid w:val="00AF3B34"/>
    <w:rsid w:val="00AF3EEF"/>
    <w:rsid w:val="00AF4EC6"/>
    <w:rsid w:val="00AF5093"/>
    <w:rsid w:val="00AF7639"/>
    <w:rsid w:val="00B01D05"/>
    <w:rsid w:val="00B026FB"/>
    <w:rsid w:val="00B04C2A"/>
    <w:rsid w:val="00B0549F"/>
    <w:rsid w:val="00B05985"/>
    <w:rsid w:val="00B0733D"/>
    <w:rsid w:val="00B11111"/>
    <w:rsid w:val="00B113F7"/>
    <w:rsid w:val="00B12512"/>
    <w:rsid w:val="00B13480"/>
    <w:rsid w:val="00B1483D"/>
    <w:rsid w:val="00B14914"/>
    <w:rsid w:val="00B1506F"/>
    <w:rsid w:val="00B151A1"/>
    <w:rsid w:val="00B163F3"/>
    <w:rsid w:val="00B16EAD"/>
    <w:rsid w:val="00B170C5"/>
    <w:rsid w:val="00B2130A"/>
    <w:rsid w:val="00B2160A"/>
    <w:rsid w:val="00B2175A"/>
    <w:rsid w:val="00B21938"/>
    <w:rsid w:val="00B22FE7"/>
    <w:rsid w:val="00B23FF4"/>
    <w:rsid w:val="00B24A86"/>
    <w:rsid w:val="00B24BCB"/>
    <w:rsid w:val="00B25495"/>
    <w:rsid w:val="00B30654"/>
    <w:rsid w:val="00B30E4E"/>
    <w:rsid w:val="00B311D2"/>
    <w:rsid w:val="00B3120A"/>
    <w:rsid w:val="00B33F3B"/>
    <w:rsid w:val="00B36DC8"/>
    <w:rsid w:val="00B42192"/>
    <w:rsid w:val="00B42BFD"/>
    <w:rsid w:val="00B4506F"/>
    <w:rsid w:val="00B45C28"/>
    <w:rsid w:val="00B46091"/>
    <w:rsid w:val="00B469AB"/>
    <w:rsid w:val="00B46C79"/>
    <w:rsid w:val="00B62ECB"/>
    <w:rsid w:val="00B63BC1"/>
    <w:rsid w:val="00B64B27"/>
    <w:rsid w:val="00B6578C"/>
    <w:rsid w:val="00B65EEF"/>
    <w:rsid w:val="00B66631"/>
    <w:rsid w:val="00B66A2D"/>
    <w:rsid w:val="00B7096F"/>
    <w:rsid w:val="00B70ABB"/>
    <w:rsid w:val="00B71025"/>
    <w:rsid w:val="00B72130"/>
    <w:rsid w:val="00B73692"/>
    <w:rsid w:val="00B73764"/>
    <w:rsid w:val="00B7389F"/>
    <w:rsid w:val="00B7560F"/>
    <w:rsid w:val="00B76334"/>
    <w:rsid w:val="00B809F7"/>
    <w:rsid w:val="00B80B14"/>
    <w:rsid w:val="00B8184C"/>
    <w:rsid w:val="00B81919"/>
    <w:rsid w:val="00B819C2"/>
    <w:rsid w:val="00B84458"/>
    <w:rsid w:val="00B872D6"/>
    <w:rsid w:val="00B876FB"/>
    <w:rsid w:val="00B8770C"/>
    <w:rsid w:val="00B92140"/>
    <w:rsid w:val="00B92F27"/>
    <w:rsid w:val="00B93F14"/>
    <w:rsid w:val="00BA17DF"/>
    <w:rsid w:val="00BA3015"/>
    <w:rsid w:val="00BA44F0"/>
    <w:rsid w:val="00BA59AC"/>
    <w:rsid w:val="00BA6E6F"/>
    <w:rsid w:val="00BB19FC"/>
    <w:rsid w:val="00BB2E89"/>
    <w:rsid w:val="00BB49D9"/>
    <w:rsid w:val="00BB5D6C"/>
    <w:rsid w:val="00BC03FC"/>
    <w:rsid w:val="00BC1665"/>
    <w:rsid w:val="00BC1F62"/>
    <w:rsid w:val="00BC2F3B"/>
    <w:rsid w:val="00BC32FB"/>
    <w:rsid w:val="00BC5FCA"/>
    <w:rsid w:val="00BC691E"/>
    <w:rsid w:val="00BC7F36"/>
    <w:rsid w:val="00BD0501"/>
    <w:rsid w:val="00BD277F"/>
    <w:rsid w:val="00BD5050"/>
    <w:rsid w:val="00BD6A1E"/>
    <w:rsid w:val="00BD7187"/>
    <w:rsid w:val="00BD7244"/>
    <w:rsid w:val="00BE2D94"/>
    <w:rsid w:val="00BE32CA"/>
    <w:rsid w:val="00BE4212"/>
    <w:rsid w:val="00BE4F6E"/>
    <w:rsid w:val="00BE5E3D"/>
    <w:rsid w:val="00BF0F07"/>
    <w:rsid w:val="00BF1854"/>
    <w:rsid w:val="00BF19ED"/>
    <w:rsid w:val="00BF2842"/>
    <w:rsid w:val="00BF2BE4"/>
    <w:rsid w:val="00BF42E4"/>
    <w:rsid w:val="00BF476E"/>
    <w:rsid w:val="00BF6D62"/>
    <w:rsid w:val="00C00160"/>
    <w:rsid w:val="00C00E1F"/>
    <w:rsid w:val="00C01302"/>
    <w:rsid w:val="00C01EC3"/>
    <w:rsid w:val="00C03899"/>
    <w:rsid w:val="00C04170"/>
    <w:rsid w:val="00C0621D"/>
    <w:rsid w:val="00C063AE"/>
    <w:rsid w:val="00C06C0F"/>
    <w:rsid w:val="00C07ACA"/>
    <w:rsid w:val="00C10DE6"/>
    <w:rsid w:val="00C10E04"/>
    <w:rsid w:val="00C123C7"/>
    <w:rsid w:val="00C130C9"/>
    <w:rsid w:val="00C13154"/>
    <w:rsid w:val="00C138AC"/>
    <w:rsid w:val="00C13E2A"/>
    <w:rsid w:val="00C14518"/>
    <w:rsid w:val="00C14976"/>
    <w:rsid w:val="00C17841"/>
    <w:rsid w:val="00C21B98"/>
    <w:rsid w:val="00C2587C"/>
    <w:rsid w:val="00C274F3"/>
    <w:rsid w:val="00C3268B"/>
    <w:rsid w:val="00C3418F"/>
    <w:rsid w:val="00C3482D"/>
    <w:rsid w:val="00C37621"/>
    <w:rsid w:val="00C40800"/>
    <w:rsid w:val="00C4452E"/>
    <w:rsid w:val="00C45070"/>
    <w:rsid w:val="00C45C22"/>
    <w:rsid w:val="00C46FA6"/>
    <w:rsid w:val="00C50259"/>
    <w:rsid w:val="00C50B11"/>
    <w:rsid w:val="00C50FDF"/>
    <w:rsid w:val="00C52188"/>
    <w:rsid w:val="00C521A3"/>
    <w:rsid w:val="00C52228"/>
    <w:rsid w:val="00C523AB"/>
    <w:rsid w:val="00C525AE"/>
    <w:rsid w:val="00C529CA"/>
    <w:rsid w:val="00C533D4"/>
    <w:rsid w:val="00C53668"/>
    <w:rsid w:val="00C53ABF"/>
    <w:rsid w:val="00C54022"/>
    <w:rsid w:val="00C540EA"/>
    <w:rsid w:val="00C57D25"/>
    <w:rsid w:val="00C57EE7"/>
    <w:rsid w:val="00C61C4A"/>
    <w:rsid w:val="00C64582"/>
    <w:rsid w:val="00C659D6"/>
    <w:rsid w:val="00C65A7C"/>
    <w:rsid w:val="00C67140"/>
    <w:rsid w:val="00C7031C"/>
    <w:rsid w:val="00C709CB"/>
    <w:rsid w:val="00C70CF3"/>
    <w:rsid w:val="00C73623"/>
    <w:rsid w:val="00C73AE7"/>
    <w:rsid w:val="00C75B4D"/>
    <w:rsid w:val="00C76159"/>
    <w:rsid w:val="00C76181"/>
    <w:rsid w:val="00C76A2E"/>
    <w:rsid w:val="00C779A9"/>
    <w:rsid w:val="00C801FC"/>
    <w:rsid w:val="00C80597"/>
    <w:rsid w:val="00C8099F"/>
    <w:rsid w:val="00C80B99"/>
    <w:rsid w:val="00C80E3B"/>
    <w:rsid w:val="00C80F49"/>
    <w:rsid w:val="00C810E1"/>
    <w:rsid w:val="00C8151F"/>
    <w:rsid w:val="00C82317"/>
    <w:rsid w:val="00C82779"/>
    <w:rsid w:val="00C82B7A"/>
    <w:rsid w:val="00C82C16"/>
    <w:rsid w:val="00C841AF"/>
    <w:rsid w:val="00C85A9B"/>
    <w:rsid w:val="00C86DF8"/>
    <w:rsid w:val="00C907F9"/>
    <w:rsid w:val="00C9742B"/>
    <w:rsid w:val="00CA0586"/>
    <w:rsid w:val="00CA12A6"/>
    <w:rsid w:val="00CA36E9"/>
    <w:rsid w:val="00CA3A49"/>
    <w:rsid w:val="00CA5B8E"/>
    <w:rsid w:val="00CA5CA4"/>
    <w:rsid w:val="00CA76AB"/>
    <w:rsid w:val="00CB197D"/>
    <w:rsid w:val="00CB25CF"/>
    <w:rsid w:val="00CB32E3"/>
    <w:rsid w:val="00CB45F1"/>
    <w:rsid w:val="00CB7473"/>
    <w:rsid w:val="00CB7E2C"/>
    <w:rsid w:val="00CC11AF"/>
    <w:rsid w:val="00CC2ADF"/>
    <w:rsid w:val="00CC419A"/>
    <w:rsid w:val="00CC4855"/>
    <w:rsid w:val="00CC49B1"/>
    <w:rsid w:val="00CC5318"/>
    <w:rsid w:val="00CC7A58"/>
    <w:rsid w:val="00CD10CB"/>
    <w:rsid w:val="00CD15C2"/>
    <w:rsid w:val="00CD3515"/>
    <w:rsid w:val="00CD378B"/>
    <w:rsid w:val="00CD414C"/>
    <w:rsid w:val="00CD7F31"/>
    <w:rsid w:val="00CE0BA8"/>
    <w:rsid w:val="00CE231A"/>
    <w:rsid w:val="00CE36F4"/>
    <w:rsid w:val="00CE435B"/>
    <w:rsid w:val="00CE7ABA"/>
    <w:rsid w:val="00CF23BB"/>
    <w:rsid w:val="00CF3A81"/>
    <w:rsid w:val="00CF4F49"/>
    <w:rsid w:val="00CF69F5"/>
    <w:rsid w:val="00CF6E59"/>
    <w:rsid w:val="00CF7D88"/>
    <w:rsid w:val="00D0058D"/>
    <w:rsid w:val="00D00D8B"/>
    <w:rsid w:val="00D01904"/>
    <w:rsid w:val="00D01ACA"/>
    <w:rsid w:val="00D01E6C"/>
    <w:rsid w:val="00D01ECD"/>
    <w:rsid w:val="00D0291D"/>
    <w:rsid w:val="00D02AA6"/>
    <w:rsid w:val="00D031BF"/>
    <w:rsid w:val="00D032E1"/>
    <w:rsid w:val="00D033FD"/>
    <w:rsid w:val="00D040D4"/>
    <w:rsid w:val="00D05E19"/>
    <w:rsid w:val="00D108D3"/>
    <w:rsid w:val="00D1135C"/>
    <w:rsid w:val="00D11CAD"/>
    <w:rsid w:val="00D12A98"/>
    <w:rsid w:val="00D13876"/>
    <w:rsid w:val="00D1797E"/>
    <w:rsid w:val="00D2033F"/>
    <w:rsid w:val="00D205B7"/>
    <w:rsid w:val="00D21224"/>
    <w:rsid w:val="00D21680"/>
    <w:rsid w:val="00D21A5F"/>
    <w:rsid w:val="00D21F93"/>
    <w:rsid w:val="00D22131"/>
    <w:rsid w:val="00D25EAB"/>
    <w:rsid w:val="00D2604E"/>
    <w:rsid w:val="00D265AD"/>
    <w:rsid w:val="00D26D58"/>
    <w:rsid w:val="00D276C5"/>
    <w:rsid w:val="00D2780B"/>
    <w:rsid w:val="00D307B0"/>
    <w:rsid w:val="00D30877"/>
    <w:rsid w:val="00D30CA0"/>
    <w:rsid w:val="00D30FB0"/>
    <w:rsid w:val="00D33A92"/>
    <w:rsid w:val="00D35475"/>
    <w:rsid w:val="00D37153"/>
    <w:rsid w:val="00D401B0"/>
    <w:rsid w:val="00D4036B"/>
    <w:rsid w:val="00D4173C"/>
    <w:rsid w:val="00D4279A"/>
    <w:rsid w:val="00D43509"/>
    <w:rsid w:val="00D437C5"/>
    <w:rsid w:val="00D4475C"/>
    <w:rsid w:val="00D44A87"/>
    <w:rsid w:val="00D45200"/>
    <w:rsid w:val="00D454F2"/>
    <w:rsid w:val="00D471F3"/>
    <w:rsid w:val="00D472D4"/>
    <w:rsid w:val="00D478BE"/>
    <w:rsid w:val="00D50397"/>
    <w:rsid w:val="00D50804"/>
    <w:rsid w:val="00D50D02"/>
    <w:rsid w:val="00D51831"/>
    <w:rsid w:val="00D532B9"/>
    <w:rsid w:val="00D53726"/>
    <w:rsid w:val="00D5580B"/>
    <w:rsid w:val="00D60674"/>
    <w:rsid w:val="00D60FF8"/>
    <w:rsid w:val="00D635C4"/>
    <w:rsid w:val="00D63783"/>
    <w:rsid w:val="00D6416B"/>
    <w:rsid w:val="00D70377"/>
    <w:rsid w:val="00D70769"/>
    <w:rsid w:val="00D73533"/>
    <w:rsid w:val="00D766D0"/>
    <w:rsid w:val="00D76C8E"/>
    <w:rsid w:val="00D8052F"/>
    <w:rsid w:val="00D80EDF"/>
    <w:rsid w:val="00D812E4"/>
    <w:rsid w:val="00D84799"/>
    <w:rsid w:val="00D86939"/>
    <w:rsid w:val="00D87CCE"/>
    <w:rsid w:val="00D91F76"/>
    <w:rsid w:val="00D93407"/>
    <w:rsid w:val="00D96A67"/>
    <w:rsid w:val="00D96F5A"/>
    <w:rsid w:val="00DA05BE"/>
    <w:rsid w:val="00DA26A1"/>
    <w:rsid w:val="00DA55C1"/>
    <w:rsid w:val="00DA5741"/>
    <w:rsid w:val="00DA5AEA"/>
    <w:rsid w:val="00DA6C96"/>
    <w:rsid w:val="00DB0E55"/>
    <w:rsid w:val="00DB106A"/>
    <w:rsid w:val="00DB1BB6"/>
    <w:rsid w:val="00DB29A5"/>
    <w:rsid w:val="00DB48DB"/>
    <w:rsid w:val="00DC1843"/>
    <w:rsid w:val="00DC1E66"/>
    <w:rsid w:val="00DC5BEC"/>
    <w:rsid w:val="00DC5CEC"/>
    <w:rsid w:val="00DD07B8"/>
    <w:rsid w:val="00DD0AE6"/>
    <w:rsid w:val="00DD18F1"/>
    <w:rsid w:val="00DD1BD6"/>
    <w:rsid w:val="00DD49E3"/>
    <w:rsid w:val="00DD5189"/>
    <w:rsid w:val="00DD5258"/>
    <w:rsid w:val="00DD5BBA"/>
    <w:rsid w:val="00DD616D"/>
    <w:rsid w:val="00DD70EA"/>
    <w:rsid w:val="00DE0661"/>
    <w:rsid w:val="00DE0CAA"/>
    <w:rsid w:val="00DE1362"/>
    <w:rsid w:val="00DE141F"/>
    <w:rsid w:val="00DE1655"/>
    <w:rsid w:val="00DE1961"/>
    <w:rsid w:val="00DE1D37"/>
    <w:rsid w:val="00DE2364"/>
    <w:rsid w:val="00DE24F3"/>
    <w:rsid w:val="00DE3638"/>
    <w:rsid w:val="00DE442F"/>
    <w:rsid w:val="00DE58B7"/>
    <w:rsid w:val="00DE77F7"/>
    <w:rsid w:val="00DF4BE8"/>
    <w:rsid w:val="00DF57B5"/>
    <w:rsid w:val="00DF7ECC"/>
    <w:rsid w:val="00E002F4"/>
    <w:rsid w:val="00E0060F"/>
    <w:rsid w:val="00E015DD"/>
    <w:rsid w:val="00E01A88"/>
    <w:rsid w:val="00E0286B"/>
    <w:rsid w:val="00E033F2"/>
    <w:rsid w:val="00E035BB"/>
    <w:rsid w:val="00E04A02"/>
    <w:rsid w:val="00E04B52"/>
    <w:rsid w:val="00E04E94"/>
    <w:rsid w:val="00E06337"/>
    <w:rsid w:val="00E07731"/>
    <w:rsid w:val="00E07E1C"/>
    <w:rsid w:val="00E111DA"/>
    <w:rsid w:val="00E112BD"/>
    <w:rsid w:val="00E11A43"/>
    <w:rsid w:val="00E12666"/>
    <w:rsid w:val="00E12C58"/>
    <w:rsid w:val="00E12CC4"/>
    <w:rsid w:val="00E12ED1"/>
    <w:rsid w:val="00E144D8"/>
    <w:rsid w:val="00E156D3"/>
    <w:rsid w:val="00E21111"/>
    <w:rsid w:val="00E213EE"/>
    <w:rsid w:val="00E2162C"/>
    <w:rsid w:val="00E236CF"/>
    <w:rsid w:val="00E24843"/>
    <w:rsid w:val="00E25933"/>
    <w:rsid w:val="00E26A0F"/>
    <w:rsid w:val="00E27525"/>
    <w:rsid w:val="00E275AF"/>
    <w:rsid w:val="00E27A4B"/>
    <w:rsid w:val="00E3092D"/>
    <w:rsid w:val="00E30C16"/>
    <w:rsid w:val="00E32EDC"/>
    <w:rsid w:val="00E335FC"/>
    <w:rsid w:val="00E3378E"/>
    <w:rsid w:val="00E34AA2"/>
    <w:rsid w:val="00E34F30"/>
    <w:rsid w:val="00E351B6"/>
    <w:rsid w:val="00E35C1F"/>
    <w:rsid w:val="00E36594"/>
    <w:rsid w:val="00E37C84"/>
    <w:rsid w:val="00E37EC0"/>
    <w:rsid w:val="00E41417"/>
    <w:rsid w:val="00E41CE3"/>
    <w:rsid w:val="00E4227E"/>
    <w:rsid w:val="00E434DD"/>
    <w:rsid w:val="00E46856"/>
    <w:rsid w:val="00E46A2C"/>
    <w:rsid w:val="00E47914"/>
    <w:rsid w:val="00E51100"/>
    <w:rsid w:val="00E52A68"/>
    <w:rsid w:val="00E52B2A"/>
    <w:rsid w:val="00E56F61"/>
    <w:rsid w:val="00E60442"/>
    <w:rsid w:val="00E604FD"/>
    <w:rsid w:val="00E60AD4"/>
    <w:rsid w:val="00E61932"/>
    <w:rsid w:val="00E620C8"/>
    <w:rsid w:val="00E629F5"/>
    <w:rsid w:val="00E63183"/>
    <w:rsid w:val="00E6422B"/>
    <w:rsid w:val="00E64346"/>
    <w:rsid w:val="00E64727"/>
    <w:rsid w:val="00E64877"/>
    <w:rsid w:val="00E65F3C"/>
    <w:rsid w:val="00E668AF"/>
    <w:rsid w:val="00E67094"/>
    <w:rsid w:val="00E674DD"/>
    <w:rsid w:val="00E723FF"/>
    <w:rsid w:val="00E72B02"/>
    <w:rsid w:val="00E73260"/>
    <w:rsid w:val="00E7369C"/>
    <w:rsid w:val="00E75997"/>
    <w:rsid w:val="00E80CDE"/>
    <w:rsid w:val="00E81A33"/>
    <w:rsid w:val="00E82400"/>
    <w:rsid w:val="00E83D93"/>
    <w:rsid w:val="00E83DF9"/>
    <w:rsid w:val="00E84116"/>
    <w:rsid w:val="00E84EF2"/>
    <w:rsid w:val="00E8601A"/>
    <w:rsid w:val="00E87ADE"/>
    <w:rsid w:val="00E90A14"/>
    <w:rsid w:val="00E92F59"/>
    <w:rsid w:val="00E94AAC"/>
    <w:rsid w:val="00E95A43"/>
    <w:rsid w:val="00E96691"/>
    <w:rsid w:val="00E967F1"/>
    <w:rsid w:val="00E96940"/>
    <w:rsid w:val="00E96F00"/>
    <w:rsid w:val="00E97354"/>
    <w:rsid w:val="00E9786C"/>
    <w:rsid w:val="00E97AB6"/>
    <w:rsid w:val="00EA0FF7"/>
    <w:rsid w:val="00EA1306"/>
    <w:rsid w:val="00EA29AB"/>
    <w:rsid w:val="00EA3CA1"/>
    <w:rsid w:val="00EA3D6E"/>
    <w:rsid w:val="00EB0A67"/>
    <w:rsid w:val="00EB286C"/>
    <w:rsid w:val="00EB397E"/>
    <w:rsid w:val="00EB3BC3"/>
    <w:rsid w:val="00EB43AA"/>
    <w:rsid w:val="00EB43F0"/>
    <w:rsid w:val="00EB73E4"/>
    <w:rsid w:val="00EC16E3"/>
    <w:rsid w:val="00EC3B88"/>
    <w:rsid w:val="00EC3C78"/>
    <w:rsid w:val="00EC5639"/>
    <w:rsid w:val="00EC5A1D"/>
    <w:rsid w:val="00EC7899"/>
    <w:rsid w:val="00ED0660"/>
    <w:rsid w:val="00ED1878"/>
    <w:rsid w:val="00ED18D7"/>
    <w:rsid w:val="00ED33FC"/>
    <w:rsid w:val="00ED45EB"/>
    <w:rsid w:val="00ED56C2"/>
    <w:rsid w:val="00ED68D9"/>
    <w:rsid w:val="00ED7ED3"/>
    <w:rsid w:val="00EE7439"/>
    <w:rsid w:val="00EF345D"/>
    <w:rsid w:val="00EF5254"/>
    <w:rsid w:val="00EF590A"/>
    <w:rsid w:val="00EF7BB8"/>
    <w:rsid w:val="00F00990"/>
    <w:rsid w:val="00F02535"/>
    <w:rsid w:val="00F02D2E"/>
    <w:rsid w:val="00F1138D"/>
    <w:rsid w:val="00F12FB0"/>
    <w:rsid w:val="00F16BC5"/>
    <w:rsid w:val="00F17746"/>
    <w:rsid w:val="00F2041F"/>
    <w:rsid w:val="00F21D19"/>
    <w:rsid w:val="00F21E37"/>
    <w:rsid w:val="00F24C94"/>
    <w:rsid w:val="00F2669D"/>
    <w:rsid w:val="00F26A04"/>
    <w:rsid w:val="00F27217"/>
    <w:rsid w:val="00F3066E"/>
    <w:rsid w:val="00F30DE3"/>
    <w:rsid w:val="00F31535"/>
    <w:rsid w:val="00F32E37"/>
    <w:rsid w:val="00F34346"/>
    <w:rsid w:val="00F363AB"/>
    <w:rsid w:val="00F4033B"/>
    <w:rsid w:val="00F43599"/>
    <w:rsid w:val="00F549D7"/>
    <w:rsid w:val="00F5654E"/>
    <w:rsid w:val="00F56F11"/>
    <w:rsid w:val="00F61626"/>
    <w:rsid w:val="00F61C4B"/>
    <w:rsid w:val="00F62904"/>
    <w:rsid w:val="00F62EEF"/>
    <w:rsid w:val="00F641DC"/>
    <w:rsid w:val="00F6507C"/>
    <w:rsid w:val="00F6531A"/>
    <w:rsid w:val="00F70680"/>
    <w:rsid w:val="00F711E5"/>
    <w:rsid w:val="00F715AB"/>
    <w:rsid w:val="00F7180C"/>
    <w:rsid w:val="00F71EF3"/>
    <w:rsid w:val="00F73C7B"/>
    <w:rsid w:val="00F746BA"/>
    <w:rsid w:val="00F753AC"/>
    <w:rsid w:val="00F7606E"/>
    <w:rsid w:val="00F76C61"/>
    <w:rsid w:val="00F809A1"/>
    <w:rsid w:val="00F80EC1"/>
    <w:rsid w:val="00F8144B"/>
    <w:rsid w:val="00F81F85"/>
    <w:rsid w:val="00F82C9E"/>
    <w:rsid w:val="00F8580F"/>
    <w:rsid w:val="00F864E0"/>
    <w:rsid w:val="00F873AB"/>
    <w:rsid w:val="00F912AD"/>
    <w:rsid w:val="00F91499"/>
    <w:rsid w:val="00F92D27"/>
    <w:rsid w:val="00F9392E"/>
    <w:rsid w:val="00F941FF"/>
    <w:rsid w:val="00F9486C"/>
    <w:rsid w:val="00F952B5"/>
    <w:rsid w:val="00F95580"/>
    <w:rsid w:val="00F964E2"/>
    <w:rsid w:val="00F968E0"/>
    <w:rsid w:val="00FA1784"/>
    <w:rsid w:val="00FA2228"/>
    <w:rsid w:val="00FA2551"/>
    <w:rsid w:val="00FA652A"/>
    <w:rsid w:val="00FA784D"/>
    <w:rsid w:val="00FB1381"/>
    <w:rsid w:val="00FB24A5"/>
    <w:rsid w:val="00FB48E0"/>
    <w:rsid w:val="00FB6E25"/>
    <w:rsid w:val="00FC02F3"/>
    <w:rsid w:val="00FC0CD8"/>
    <w:rsid w:val="00FC2062"/>
    <w:rsid w:val="00FC3422"/>
    <w:rsid w:val="00FC35C3"/>
    <w:rsid w:val="00FC5354"/>
    <w:rsid w:val="00FC6520"/>
    <w:rsid w:val="00FC6928"/>
    <w:rsid w:val="00FC7C92"/>
    <w:rsid w:val="00FD02C9"/>
    <w:rsid w:val="00FD1FF9"/>
    <w:rsid w:val="00FD25A7"/>
    <w:rsid w:val="00FD28D8"/>
    <w:rsid w:val="00FD3C5C"/>
    <w:rsid w:val="00FD3C66"/>
    <w:rsid w:val="00FD3F54"/>
    <w:rsid w:val="00FD3F7D"/>
    <w:rsid w:val="00FD7B9F"/>
    <w:rsid w:val="00FE0793"/>
    <w:rsid w:val="00FE1D4F"/>
    <w:rsid w:val="00FE2080"/>
    <w:rsid w:val="00FE2716"/>
    <w:rsid w:val="00FE3BA2"/>
    <w:rsid w:val="00FF04F0"/>
    <w:rsid w:val="00FF06A5"/>
    <w:rsid w:val="00FF151B"/>
    <w:rsid w:val="00FF2335"/>
    <w:rsid w:val="00FF368B"/>
    <w:rsid w:val="00FF4335"/>
    <w:rsid w:val="00FF6621"/>
    <w:rsid w:val="00FF6856"/>
    <w:rsid w:val="00FF6984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4A3D16C"/>
  <w15:chartTrackingRefBased/>
  <w15:docId w15:val="{66303AAD-4894-45AB-B851-8A981FAB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18B"/>
    <w:pPr>
      <w:spacing w:after="240" w:line="300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711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4279A"/>
    <w:pPr>
      <w:keepNext/>
      <w:spacing w:before="240"/>
      <w:outlineLvl w:val="1"/>
    </w:pPr>
    <w:rPr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2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C5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F53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F5387"/>
  </w:style>
  <w:style w:type="paragraph" w:styleId="Nagwek">
    <w:name w:val="header"/>
    <w:basedOn w:val="Normalny"/>
    <w:link w:val="NagwekZnak"/>
    <w:rsid w:val="00C0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063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063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446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4646F"/>
  </w:style>
  <w:style w:type="character" w:styleId="Odwoanieprzypisukocowego">
    <w:name w:val="endnote reference"/>
    <w:rsid w:val="0044646F"/>
    <w:rPr>
      <w:vertAlign w:val="superscript"/>
    </w:rPr>
  </w:style>
  <w:style w:type="character" w:customStyle="1" w:styleId="Nagwek1Znak">
    <w:name w:val="Nagłówek 1 Znak"/>
    <w:link w:val="Nagwek1"/>
    <w:rsid w:val="00F711E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40800"/>
    <w:pPr>
      <w:ind w:left="708"/>
    </w:pPr>
  </w:style>
  <w:style w:type="character" w:customStyle="1" w:styleId="Nagwek2Znak">
    <w:name w:val="Nagłówek 2 Znak"/>
    <w:link w:val="Nagwek2"/>
    <w:rsid w:val="0097018B"/>
    <w:rPr>
      <w:rFonts w:eastAsia="Times New Roman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B8BF5-9E2A-47FD-84CE-C54106AE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8</Pages>
  <Words>2116</Words>
  <Characters>12698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Wprowadzenie do skonsolidowanego bilansu m.st. Warszawy za 2021 rok</vt:lpstr>
    </vt:vector>
  </TitlesOfParts>
  <Company>Urząd Miasta Stołecznego Warszawy</Company>
  <LinksUpToDate>false</LinksUpToDate>
  <CharactersWithSpaces>14785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Wprowadzenie do skonsolidowanego bilansu m.st. Warszawy za 2021 rok</dc:title>
  <dc:subject/>
  <dc:creator>esemeniuk</dc:creator>
  <cp:keywords/>
  <cp:lastModifiedBy>Czapska Agata (KK)</cp:lastModifiedBy>
  <cp:revision>32</cp:revision>
  <cp:lastPrinted>2023-10-18T09:36:00Z</cp:lastPrinted>
  <dcterms:created xsi:type="dcterms:W3CDTF">2023-08-31T13:04:00Z</dcterms:created>
  <dcterms:modified xsi:type="dcterms:W3CDTF">2023-10-24T13:13:00Z</dcterms:modified>
</cp:coreProperties>
</file>