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7D3B" w14:textId="77950737" w:rsidR="00263DB6" w:rsidRPr="00827B82" w:rsidRDefault="00D911DB" w:rsidP="00143A4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</w:t>
      </w:r>
      <w:r w:rsidRPr="00827B82">
        <w:rPr>
          <w:rFonts w:ascii="Verdana" w:hAnsi="Verdana"/>
          <w:b/>
          <w:sz w:val="18"/>
          <w:szCs w:val="18"/>
        </w:rPr>
        <w:t>formacja</w:t>
      </w:r>
      <w:r>
        <w:rPr>
          <w:rFonts w:ascii="Verdana" w:hAnsi="Verdana"/>
          <w:b/>
          <w:sz w:val="18"/>
          <w:szCs w:val="18"/>
        </w:rPr>
        <w:t xml:space="preserve"> kwartalna </w:t>
      </w:r>
      <w:r w:rsidR="00C31D5C" w:rsidRPr="00827B82">
        <w:rPr>
          <w:rFonts w:ascii="Verdana" w:hAnsi="Verdana"/>
          <w:b/>
          <w:sz w:val="18"/>
          <w:szCs w:val="18"/>
        </w:rPr>
        <w:t>o reali</w:t>
      </w:r>
      <w:r w:rsidR="00BE09BA">
        <w:rPr>
          <w:rFonts w:ascii="Verdana" w:hAnsi="Verdana"/>
          <w:b/>
          <w:sz w:val="18"/>
          <w:szCs w:val="18"/>
        </w:rPr>
        <w:t>zacji budżetu</w:t>
      </w:r>
      <w:r>
        <w:rPr>
          <w:rFonts w:ascii="Verdana" w:hAnsi="Verdana"/>
          <w:b/>
          <w:sz w:val="18"/>
          <w:szCs w:val="18"/>
        </w:rPr>
        <w:t xml:space="preserve"> m.st. Warszawy za</w:t>
      </w:r>
      <w:r w:rsidR="00010618">
        <w:rPr>
          <w:rFonts w:ascii="Verdana" w:hAnsi="Verdana"/>
          <w:b/>
          <w:sz w:val="18"/>
          <w:szCs w:val="18"/>
        </w:rPr>
        <w:t xml:space="preserve"> </w:t>
      </w:r>
      <w:r w:rsidR="003B397A">
        <w:rPr>
          <w:rFonts w:ascii="Verdana" w:hAnsi="Verdana"/>
          <w:b/>
          <w:sz w:val="18"/>
          <w:szCs w:val="18"/>
        </w:rPr>
        <w:t>IV</w:t>
      </w:r>
      <w:r w:rsidR="000443A2">
        <w:rPr>
          <w:rFonts w:ascii="Verdana" w:hAnsi="Verdana"/>
          <w:b/>
          <w:sz w:val="18"/>
          <w:szCs w:val="18"/>
        </w:rPr>
        <w:t xml:space="preserve"> kwartał</w:t>
      </w:r>
      <w:r w:rsidR="00160D00">
        <w:rPr>
          <w:rFonts w:ascii="Verdana" w:hAnsi="Verdana"/>
          <w:b/>
          <w:sz w:val="18"/>
          <w:szCs w:val="18"/>
        </w:rPr>
        <w:t>y</w:t>
      </w:r>
      <w:r w:rsidR="00EC5418">
        <w:rPr>
          <w:rFonts w:ascii="Verdana" w:hAnsi="Verdana"/>
          <w:b/>
          <w:sz w:val="18"/>
          <w:szCs w:val="18"/>
        </w:rPr>
        <w:t xml:space="preserve"> 202</w:t>
      </w:r>
      <w:r w:rsidR="000443A2">
        <w:rPr>
          <w:rFonts w:ascii="Verdana" w:hAnsi="Verdana"/>
          <w:b/>
          <w:sz w:val="18"/>
          <w:szCs w:val="18"/>
        </w:rPr>
        <w:t>1</w:t>
      </w:r>
      <w:r w:rsidR="00EC5418">
        <w:rPr>
          <w:rFonts w:ascii="Verdana" w:hAnsi="Verdana"/>
          <w:b/>
          <w:sz w:val="18"/>
          <w:szCs w:val="18"/>
        </w:rPr>
        <w:t xml:space="preserve"> r.</w:t>
      </w:r>
      <w:r w:rsidR="003B397A">
        <w:rPr>
          <w:rFonts w:ascii="Verdana" w:hAnsi="Verdana"/>
          <w:b/>
          <w:sz w:val="18"/>
          <w:szCs w:val="18"/>
        </w:rPr>
        <w:t xml:space="preserve"> /roczne</w:t>
      </w:r>
    </w:p>
    <w:p w14:paraId="58E804B1" w14:textId="77777777" w:rsidR="00AF7EFB" w:rsidRPr="00827B82" w:rsidRDefault="00AF7EFB" w:rsidP="007C422B">
      <w:pPr>
        <w:jc w:val="both"/>
        <w:rPr>
          <w:rFonts w:ascii="Verdana" w:hAnsi="Verdana"/>
          <w:b/>
          <w:sz w:val="18"/>
          <w:szCs w:val="18"/>
        </w:rPr>
      </w:pPr>
    </w:p>
    <w:p w14:paraId="5808E659" w14:textId="23DF6C05" w:rsidR="00C31D5C" w:rsidRPr="00827B82" w:rsidRDefault="00315FE6" w:rsidP="007C422B">
      <w:pPr>
        <w:jc w:val="both"/>
        <w:rPr>
          <w:rFonts w:ascii="Verdana" w:hAnsi="Verdana"/>
          <w:sz w:val="18"/>
          <w:szCs w:val="18"/>
        </w:rPr>
      </w:pPr>
      <w:r w:rsidRPr="00827B82">
        <w:rPr>
          <w:rFonts w:ascii="Verdana" w:hAnsi="Verdana"/>
          <w:sz w:val="18"/>
          <w:szCs w:val="18"/>
        </w:rPr>
        <w:t>Realizacja podstawowych wielkości budżetu m.st. Warszawy na koniec</w:t>
      </w:r>
      <w:r w:rsidR="00A60F0B">
        <w:rPr>
          <w:rFonts w:ascii="Verdana" w:hAnsi="Verdana"/>
          <w:sz w:val="18"/>
          <w:szCs w:val="18"/>
        </w:rPr>
        <w:t xml:space="preserve"> </w:t>
      </w:r>
      <w:r w:rsidRPr="00827B82">
        <w:rPr>
          <w:rFonts w:ascii="Verdana" w:hAnsi="Verdana"/>
          <w:sz w:val="18"/>
          <w:szCs w:val="18"/>
        </w:rPr>
        <w:t>20</w:t>
      </w:r>
      <w:r w:rsidR="00327CD6">
        <w:rPr>
          <w:rFonts w:ascii="Verdana" w:hAnsi="Verdana"/>
          <w:sz w:val="18"/>
          <w:szCs w:val="18"/>
        </w:rPr>
        <w:t>2</w:t>
      </w:r>
      <w:r w:rsidR="000443A2">
        <w:rPr>
          <w:rFonts w:ascii="Verdana" w:hAnsi="Verdana"/>
          <w:sz w:val="18"/>
          <w:szCs w:val="18"/>
        </w:rPr>
        <w:t>1</w:t>
      </w:r>
      <w:r w:rsidRPr="00827B82">
        <w:rPr>
          <w:rFonts w:ascii="Verdana" w:hAnsi="Verdana"/>
          <w:sz w:val="18"/>
          <w:szCs w:val="18"/>
        </w:rPr>
        <w:t xml:space="preserve"> r</w:t>
      </w:r>
      <w:r w:rsidR="009B04F7">
        <w:rPr>
          <w:rFonts w:ascii="Verdana" w:hAnsi="Verdana"/>
          <w:sz w:val="18"/>
          <w:szCs w:val="18"/>
        </w:rPr>
        <w:t>oku</w:t>
      </w:r>
      <w:r w:rsidRPr="00827B82">
        <w:rPr>
          <w:rFonts w:ascii="Verdana" w:hAnsi="Verdana"/>
          <w:sz w:val="18"/>
          <w:szCs w:val="18"/>
        </w:rPr>
        <w:t xml:space="preserve"> wyniosła:</w:t>
      </w:r>
    </w:p>
    <w:p w14:paraId="6879BB52" w14:textId="5F89D286" w:rsidR="009D7579" w:rsidRPr="00160D00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827B82">
        <w:rPr>
          <w:rFonts w:ascii="Verdana" w:hAnsi="Verdana"/>
          <w:b/>
          <w:sz w:val="18"/>
          <w:szCs w:val="18"/>
        </w:rPr>
        <w:t xml:space="preserve">Dochody </w:t>
      </w:r>
      <w:r w:rsidR="002952B3" w:rsidRPr="00827B82">
        <w:rPr>
          <w:rFonts w:ascii="Verdana" w:hAnsi="Verdana"/>
          <w:b/>
          <w:sz w:val="18"/>
          <w:szCs w:val="18"/>
        </w:rPr>
        <w:t>ogółem</w:t>
      </w:r>
      <w:r w:rsidR="00A564AE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3B397A" w:rsidRPr="003B397A">
        <w:rPr>
          <w:rFonts w:ascii="Verdana" w:hAnsi="Verdana"/>
          <w:b/>
          <w:bCs/>
          <w:sz w:val="18"/>
          <w:szCs w:val="18"/>
        </w:rPr>
        <w:t>21 5</w:t>
      </w:r>
      <w:r w:rsidR="003B397A">
        <w:rPr>
          <w:rFonts w:ascii="Verdana" w:hAnsi="Verdana"/>
          <w:b/>
          <w:bCs/>
          <w:sz w:val="18"/>
          <w:szCs w:val="18"/>
        </w:rPr>
        <w:t>94 782 59</w:t>
      </w:r>
      <w:r w:rsidR="00542BCF">
        <w:rPr>
          <w:rFonts w:ascii="Verdana" w:hAnsi="Verdana"/>
          <w:b/>
          <w:bCs/>
          <w:sz w:val="18"/>
          <w:szCs w:val="18"/>
        </w:rPr>
        <w:t>1</w:t>
      </w:r>
      <w:r w:rsidR="009D7579" w:rsidRPr="00160D0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14:paraId="21143493" w14:textId="77777777" w:rsidR="00113A4B" w:rsidRPr="00827B82" w:rsidRDefault="00113A4B" w:rsidP="002952B3">
      <w:pPr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14:paraId="1F31A194" w14:textId="1B381C70" w:rsidR="009D7579" w:rsidRPr="003B397A" w:rsidRDefault="00113A4B" w:rsidP="009D7579">
      <w:pPr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</w:pPr>
      <w:r w:rsidRPr="00827B82">
        <w:rPr>
          <w:rFonts w:ascii="Verdana" w:hAnsi="Verdana"/>
          <w:b/>
          <w:i/>
          <w:sz w:val="18"/>
          <w:szCs w:val="18"/>
        </w:rPr>
        <w:t>dochody bieżące</w:t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i/>
          <w:sz w:val="18"/>
          <w:szCs w:val="18"/>
        </w:rPr>
        <w:tab/>
      </w:r>
      <w:r w:rsidR="003B397A" w:rsidRPr="003B397A">
        <w:rPr>
          <w:rFonts w:ascii="Verdana" w:hAnsi="Verdana"/>
          <w:b/>
          <w:bCs/>
          <w:i/>
          <w:sz w:val="18"/>
          <w:szCs w:val="18"/>
        </w:rPr>
        <w:t>20 582</w:t>
      </w:r>
      <w:r w:rsidR="00542BCF">
        <w:rPr>
          <w:rFonts w:ascii="Verdana" w:hAnsi="Verdana"/>
          <w:b/>
          <w:bCs/>
          <w:i/>
          <w:sz w:val="18"/>
          <w:szCs w:val="18"/>
        </w:rPr>
        <w:t> 713 369</w:t>
      </w:r>
      <w:r w:rsidR="007F7354" w:rsidRPr="003B397A">
        <w:rPr>
          <w:rFonts w:ascii="Verdana" w:hAnsi="Verdana"/>
          <w:b/>
          <w:bCs/>
          <w:i/>
          <w:sz w:val="18"/>
          <w:szCs w:val="18"/>
        </w:rPr>
        <w:t xml:space="preserve"> zł</w:t>
      </w:r>
      <w:r w:rsidR="009D7579" w:rsidRPr="003B397A"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  <w:t>,</w:t>
      </w:r>
    </w:p>
    <w:p w14:paraId="4E106AC1" w14:textId="2CFE07F3" w:rsidR="009D7579" w:rsidRPr="00542BCF" w:rsidRDefault="00113A4B" w:rsidP="00542BCF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542BCF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dochody majątkowe</w:t>
      </w:r>
      <w:r w:rsidR="002952B3" w:rsidRPr="00542BCF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2952B3" w:rsidRPr="00542BCF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542BCF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D769BB" w:rsidRPr="00542BCF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3B397A" w:rsidRPr="00542BCF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1 012</w:t>
      </w:r>
      <w:r w:rsidR="002E5E50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 </w:t>
      </w:r>
      <w:r w:rsidR="00542BCF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069</w:t>
      </w:r>
      <w:r w:rsidR="002E5E50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542BCF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222</w:t>
      </w:r>
      <w:r w:rsidR="009D7579" w:rsidRPr="00542BCF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14:paraId="66DC4C99" w14:textId="77777777" w:rsidR="00F13D4E" w:rsidRPr="00A60F0B" w:rsidRDefault="00F13D4E" w:rsidP="009B2092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C73654C" w14:textId="3C0F7561" w:rsidR="009D7579" w:rsidRPr="003C0D04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Wydatki </w:t>
      </w:r>
      <w:r w:rsidR="002952B3"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>ogółem</w:t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0443A2" w:rsidRPr="00160D00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0" locked="0" layoutInCell="1" allowOverlap="1" wp14:anchorId="78AE6520" wp14:editId="556A80B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E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B397A" w:rsidRPr="003B397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20 285 439 792</w:t>
      </w:r>
      <w:r w:rsidR="009D7579" w:rsidRPr="003C0D0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14:paraId="6201D4AC" w14:textId="77777777" w:rsidR="00113A4B" w:rsidRPr="00827B82" w:rsidRDefault="009B2092" w:rsidP="009D7579">
      <w:pPr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A60F0B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71D91C09" wp14:editId="3115758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14:paraId="7B48AFEF" w14:textId="128B5D97"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bieżące</w:t>
      </w:r>
      <w:r w:rsidR="002952B3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1D2916" w:rsidRPr="00BE598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       </w:t>
      </w:r>
      <w:r w:rsidR="00994BC9" w:rsidRPr="00BE598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1D2916" w:rsidRPr="00BE598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320E3C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3B397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18 292 316 034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14:paraId="2E9261C8" w14:textId="2378406E" w:rsidR="009D7579" w:rsidRPr="003C0D04" w:rsidRDefault="00113A4B" w:rsidP="009D7579">
      <w:pPr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majątkowe</w:t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3C0D04" w:rsidRPr="003C0D04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 xml:space="preserve">    </w:t>
      </w:r>
      <w:r w:rsidR="003B397A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1 993 123 757</w:t>
      </w:r>
      <w:r w:rsidR="009D7579" w:rsidRPr="003C0D04">
        <w:rPr>
          <w:rFonts w:ascii="Verdana" w:eastAsia="Times New Roman" w:hAnsi="Verdana" w:cs="Arial"/>
          <w:b/>
          <w:bCs/>
          <w:i/>
          <w:sz w:val="18"/>
          <w:szCs w:val="18"/>
          <w:lang w:eastAsia="pl-PL"/>
        </w:rPr>
        <w:t xml:space="preserve"> zł.</w:t>
      </w:r>
    </w:p>
    <w:p w14:paraId="5299B885" w14:textId="77777777" w:rsidR="00AF7EFB" w:rsidRPr="00827B82" w:rsidRDefault="00AF7EFB" w:rsidP="00896C18">
      <w:pPr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6E48AB8B" w14:textId="15CB7262" w:rsidR="003975E6" w:rsidRPr="00C01E9B" w:rsidRDefault="003B397A" w:rsidP="003E2F2C">
      <w:pPr>
        <w:spacing w:line="276" w:lineRule="auto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896C18">
        <w:rPr>
          <w:rFonts w:ascii="Verdana" w:eastAsia="Times New Roman" w:hAnsi="Verdana" w:cs="Times New Roman"/>
          <w:sz w:val="18"/>
          <w:szCs w:val="18"/>
          <w:lang w:eastAsia="pl-PL"/>
        </w:rPr>
        <w:t>Na koniec 2021 r</w:t>
      </w:r>
      <w:r w:rsidR="009B04F7">
        <w:rPr>
          <w:rFonts w:ascii="Verdana" w:eastAsia="Times New Roman" w:hAnsi="Verdana" w:cs="Times New Roman"/>
          <w:sz w:val="18"/>
          <w:szCs w:val="18"/>
          <w:lang w:eastAsia="pl-PL"/>
        </w:rPr>
        <w:t>oku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budżet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896C1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m.st. Warszawy </w:t>
      </w:r>
      <w:r w:rsid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zamknął się </w:t>
      </w:r>
      <w:r w:rsidR="00896C18">
        <w:rPr>
          <w:rFonts w:ascii="Verdana" w:eastAsia="Times New Roman" w:hAnsi="Verdana" w:cs="Times New Roman"/>
          <w:b/>
          <w:sz w:val="18"/>
          <w:szCs w:val="18"/>
          <w:lang w:eastAsia="pl-PL"/>
        </w:rPr>
        <w:t>nadwyżką</w:t>
      </w:r>
      <w:r w:rsidR="00315FE6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</w:t>
      </w:r>
      <w:r w:rsidR="00896C18">
        <w:rPr>
          <w:rFonts w:ascii="Verdana" w:eastAsia="Times New Roman" w:hAnsi="Verdana" w:cs="Times New Roman"/>
          <w:sz w:val="18"/>
          <w:szCs w:val="18"/>
          <w:lang w:eastAsia="pl-PL"/>
        </w:rPr>
        <w:t>kwocie</w:t>
      </w:r>
      <w:r w:rsidR="003975E6" w:rsidRPr="00C01E9B">
        <w:rPr>
          <w:rFonts w:ascii="Verdana" w:hAnsi="Verdana" w:cs="Arial CE"/>
          <w:b/>
          <w:bCs/>
          <w:sz w:val="18"/>
          <w:szCs w:val="18"/>
        </w:rPr>
        <w:t xml:space="preserve"> </w:t>
      </w:r>
      <w:r>
        <w:rPr>
          <w:rFonts w:ascii="Verdana" w:hAnsi="Verdana" w:cs="Arial CE"/>
          <w:b/>
          <w:bCs/>
          <w:sz w:val="18"/>
          <w:szCs w:val="18"/>
        </w:rPr>
        <w:t>1 309 342</w:t>
      </w:r>
      <w:r w:rsidR="00896C18">
        <w:rPr>
          <w:rFonts w:ascii="Verdana" w:hAnsi="Verdana" w:cs="Arial CE"/>
          <w:b/>
          <w:bCs/>
          <w:sz w:val="18"/>
          <w:szCs w:val="18"/>
        </w:rPr>
        <w:t> </w:t>
      </w:r>
      <w:r>
        <w:rPr>
          <w:rFonts w:ascii="Verdana" w:hAnsi="Verdana" w:cs="Arial CE"/>
          <w:b/>
          <w:bCs/>
          <w:sz w:val="18"/>
          <w:szCs w:val="18"/>
        </w:rPr>
        <w:t>799</w:t>
      </w:r>
      <w:r w:rsidR="00896C18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</w:t>
      </w:r>
      <w:r w:rsidR="003975E6" w:rsidRPr="00C01E9B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zł.</w:t>
      </w:r>
    </w:p>
    <w:p w14:paraId="7E74B6F5" w14:textId="7E6B5BF1" w:rsidR="003C0D04" w:rsidRDefault="003975E6" w:rsidP="003E2F2C">
      <w:pPr>
        <w:spacing w:line="276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ochody budżetowe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</w:t>
      </w:r>
      <w:r w:rsidR="00045622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>poziomie</w:t>
      </w:r>
      <w:r w:rsidR="006B0300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3B397A" w:rsidRPr="003B397A">
        <w:rPr>
          <w:rFonts w:ascii="Verdana" w:eastAsia="Times New Roman" w:hAnsi="Verdana" w:cs="Times New Roman"/>
          <w:b/>
          <w:sz w:val="18"/>
          <w:szCs w:val="18"/>
          <w:lang w:eastAsia="pl-PL"/>
        </w:rPr>
        <w:t>104,21</w:t>
      </w:r>
      <w:r w:rsidR="006A0566" w:rsidRPr="003B397A">
        <w:rPr>
          <w:rFonts w:ascii="Verdana" w:eastAsia="Times New Roman" w:hAnsi="Verdana" w:cs="Arial CE"/>
          <w:b/>
          <w:sz w:val="18"/>
          <w:szCs w:val="18"/>
          <w:lang w:eastAsia="pl-PL"/>
        </w:rPr>
        <w:t>%</w:t>
      </w:r>
      <w:r w:rsidR="00E8320E" w:rsidRPr="00E8320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planu</w:t>
      </w:r>
      <w:r w:rsidR="00C72D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55574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B45">
        <w:rPr>
          <w:rFonts w:ascii="Verdana" w:eastAsia="Times New Roman" w:hAnsi="Verdana" w:cs="Times New Roman"/>
          <w:bCs/>
          <w:sz w:val="18"/>
          <w:szCs w:val="18"/>
          <w:lang w:eastAsia="pl-PL"/>
        </w:rPr>
        <w:t>poprzedniego roku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dochody 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są wyższe</w:t>
      </w:r>
      <w:r w:rsidR="00FF5B4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o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555740" w:rsidRPr="0055574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3 037 086 454</w:t>
      </w:r>
      <w:r w:rsidR="00160D0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2C2DF3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tj. o </w:t>
      </w:r>
      <w:r w:rsidR="00AD261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</w:t>
      </w:r>
      <w:r w:rsidR="0055574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6,37</w:t>
      </w:r>
      <w:r w:rsidR="000C5BFD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F52E2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52E2C">
        <w:t>przy czym środki w</w:t>
      </w:r>
      <w:r w:rsidR="00896C18">
        <w:t> </w:t>
      </w:r>
      <w:r w:rsidR="00F52E2C">
        <w:t>kwocie 467 538 470 zł stanowiła jednorazowa subwencja uzupełniająca, która wpłynęła w grudniu 2021 r</w:t>
      </w:r>
      <w:r w:rsidR="009B04F7">
        <w:t>oku</w:t>
      </w:r>
      <w:r w:rsidR="00F52E2C">
        <w:t xml:space="preserve"> i zostanie wykorzystana na wydatki </w:t>
      </w:r>
      <w:r w:rsidR="00BA025F">
        <w:t>budżetowe</w:t>
      </w:r>
      <w:r w:rsidR="00F52E2C">
        <w:t xml:space="preserve"> w </w:t>
      </w:r>
      <w:r w:rsidR="009B04F7">
        <w:t>2022 roku</w:t>
      </w:r>
      <w:r w:rsidR="00F52E2C">
        <w:t>, stanowiąca częściową rekompensatę ubytków dochodów budżetu jako skutek reform podatkowych wdrożonych od stycznia 2022 r</w:t>
      </w:r>
      <w:r w:rsidR="009B04F7">
        <w:t>oku</w:t>
      </w:r>
      <w:r w:rsidR="00F52E2C">
        <w:t xml:space="preserve"> w ramach</w:t>
      </w:r>
      <w:r w:rsidR="004B358E">
        <w:t xml:space="preserve"> </w:t>
      </w:r>
      <w:r w:rsidR="00FA182E">
        <w:t>Polskiego</w:t>
      </w:r>
      <w:r w:rsidR="00F52E2C">
        <w:t xml:space="preserve"> Ładu.</w:t>
      </w:r>
    </w:p>
    <w:p w14:paraId="4ABEB3CF" w14:textId="38EFCD01" w:rsidR="0032456C" w:rsidRPr="00896C18" w:rsidRDefault="00F13023" w:rsidP="003E2F2C">
      <w:pPr>
        <w:spacing w:line="276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2946BE" w:rsidRPr="002946BE">
        <w:rPr>
          <w:rFonts w:ascii="Verdana" w:eastAsia="Times New Roman" w:hAnsi="Verdana" w:cs="Times New Roman"/>
          <w:b/>
          <w:sz w:val="18"/>
          <w:szCs w:val="18"/>
          <w:lang w:eastAsia="pl-PL"/>
        </w:rPr>
        <w:t>105,9</w:t>
      </w:r>
      <w:r w:rsidR="002E5E50">
        <w:rPr>
          <w:rFonts w:ascii="Verdana" w:eastAsia="Times New Roman" w:hAnsi="Verdana" w:cs="Times New Roman"/>
          <w:b/>
          <w:sz w:val="18"/>
          <w:szCs w:val="18"/>
          <w:lang w:eastAsia="pl-PL"/>
        </w:rPr>
        <w:t>7</w:t>
      </w:r>
      <w:r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</w:t>
      </w:r>
      <w:r w:rsidR="00517F6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2946B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B04F7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2020 </w:t>
      </w:r>
      <w:r w:rsidR="004B358E">
        <w:rPr>
          <w:rFonts w:ascii="Verdana" w:eastAsia="Times New Roman" w:hAnsi="Verdana" w:cs="Times New Roman"/>
          <w:bCs/>
          <w:sz w:val="18"/>
          <w:szCs w:val="18"/>
          <w:lang w:eastAsia="pl-PL"/>
        </w:rPr>
        <w:t>roku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045622"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 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wyższe </w:t>
      </w:r>
      <w:r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2946BE" w:rsidRPr="002946BE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2 826</w:t>
      </w:r>
      <w:r w:rsidR="00FA182E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908 939</w:t>
      </w:r>
      <w:r w:rsidR="003C0D0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</w:t>
      </w:r>
      <w:r w:rsidR="002946BE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z</w:t>
      </w:r>
      <w:r w:rsidR="00160D00" w:rsidRPr="00AD2618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ł</w:t>
      </w:r>
      <w:r w:rsidR="00110C29" w:rsidRPr="00BB7BA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710541" w:rsidRPr="00BB7BAD">
        <w:rPr>
          <w:rFonts w:ascii="Verdana" w:eastAsia="Times New Roman" w:hAnsi="Verdana" w:cs="Arial CE"/>
          <w:b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tj. o </w:t>
      </w:r>
      <w:r w:rsidR="002946BE">
        <w:rPr>
          <w:rFonts w:ascii="Verdana" w:eastAsia="Times New Roman" w:hAnsi="Verdana" w:cs="Times New Roman"/>
          <w:b/>
          <w:sz w:val="18"/>
          <w:szCs w:val="18"/>
          <w:lang w:eastAsia="pl-PL"/>
        </w:rPr>
        <w:t>15,92%</w:t>
      </w:r>
      <w:r w:rsidR="009B04F7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  <w:r w:rsidR="00FF5B4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1104FB05" w14:textId="62986A11" w:rsidR="005F2664" w:rsidRPr="00827B82" w:rsidRDefault="00045622" w:rsidP="003E2F2C">
      <w:pPr>
        <w:spacing w:line="276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majątkowe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2946BE" w:rsidRPr="002946BE">
        <w:rPr>
          <w:rFonts w:ascii="Verdana" w:eastAsia="Times New Roman" w:hAnsi="Verdana" w:cs="Times New Roman"/>
          <w:b/>
          <w:sz w:val="18"/>
          <w:szCs w:val="18"/>
          <w:lang w:eastAsia="pl-PL"/>
        </w:rPr>
        <w:t>77,</w:t>
      </w:r>
      <w:r w:rsidR="002E5E50">
        <w:rPr>
          <w:rFonts w:ascii="Verdana" w:eastAsia="Times New Roman" w:hAnsi="Verdana" w:cs="Times New Roman"/>
          <w:b/>
          <w:sz w:val="18"/>
          <w:szCs w:val="18"/>
          <w:lang w:eastAsia="pl-PL"/>
        </w:rPr>
        <w:t>89</w:t>
      </w:r>
      <w:r w:rsidR="00F13023" w:rsidRPr="003C0D04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</w:t>
      </w:r>
      <w:r w:rsidR="00517F6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 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B04F7">
        <w:rPr>
          <w:rFonts w:ascii="Verdana" w:eastAsia="Times New Roman" w:hAnsi="Verdana" w:cs="Times New Roman"/>
          <w:bCs/>
          <w:sz w:val="18"/>
          <w:szCs w:val="18"/>
          <w:lang w:eastAsia="pl-PL"/>
        </w:rPr>
        <w:t>2020</w:t>
      </w:r>
      <w:r w:rsidR="004B358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roku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</w:t>
      </w:r>
      <w:r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2946B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wyższe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 </w:t>
      </w:r>
      <w:r w:rsidR="002946BE" w:rsidRPr="002946BE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210</w:t>
      </w:r>
      <w:r w:rsidR="002E5E50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177 515</w:t>
      </w:r>
      <w:r w:rsidR="00A74D3E" w:rsidRPr="002946B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5F2664" w:rsidRPr="002946B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zł</w:t>
      </w:r>
      <w:r w:rsidR="00710541"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="005F2664" w:rsidRP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tj</w:t>
      </w:r>
      <w:r w:rsidR="005F2664" w:rsidRPr="00A74D3E">
        <w:rPr>
          <w:rFonts w:ascii="Verdana" w:eastAsia="Times New Roman" w:hAnsi="Verdana" w:cs="Times New Roman"/>
          <w:b/>
          <w:sz w:val="18"/>
          <w:szCs w:val="18"/>
          <w:lang w:eastAsia="pl-PL"/>
        </w:rPr>
        <w:t>. o</w:t>
      </w:r>
      <w:r w:rsidR="00C101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2946BE">
        <w:rPr>
          <w:rFonts w:ascii="Verdana" w:eastAsia="Times New Roman" w:hAnsi="Verdana" w:cs="Times New Roman"/>
          <w:b/>
          <w:sz w:val="18"/>
          <w:szCs w:val="18"/>
          <w:lang w:eastAsia="pl-PL"/>
        </w:rPr>
        <w:t>26,2</w:t>
      </w:r>
      <w:r w:rsidR="002E5E50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%.</w:t>
      </w:r>
    </w:p>
    <w:p w14:paraId="071EBB19" w14:textId="77777777" w:rsidR="00AF7EFB" w:rsidRPr="00827B82" w:rsidRDefault="00AF7EFB" w:rsidP="00896C18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0FC5E1D" w14:textId="5B0B2094" w:rsidR="00A72C4A" w:rsidRPr="000C7B71" w:rsidRDefault="006F0698" w:rsidP="00896C18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C7A0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dochody </w:t>
      </w:r>
      <w:r w:rsidR="00BD4512" w:rsidRPr="00EC7A08">
        <w:rPr>
          <w:rFonts w:ascii="Verdana" w:eastAsia="Times New Roman" w:hAnsi="Verdana" w:cs="Times New Roman"/>
          <w:bCs/>
          <w:sz w:val="18"/>
          <w:szCs w:val="18"/>
          <w:lang w:eastAsia="pl-PL"/>
        </w:rPr>
        <w:t>budżetow</w:t>
      </w:r>
      <w:r w:rsidRPr="00EC7A08">
        <w:rPr>
          <w:rFonts w:ascii="Verdana" w:eastAsia="Times New Roman" w:hAnsi="Verdana" w:cs="Times New Roman"/>
          <w:bCs/>
          <w:sz w:val="18"/>
          <w:szCs w:val="18"/>
          <w:lang w:eastAsia="pl-PL"/>
        </w:rPr>
        <w:t>e</w:t>
      </w:r>
      <w:r w:rsidR="00C101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2946B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koniec IV 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>kwartału 20</w:t>
      </w:r>
      <w:r w:rsidR="003975E6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A74D3E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składają się m.in.:</w:t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2CB34292" w14:textId="77777777" w:rsidR="003975E6" w:rsidRPr="003975E6" w:rsidRDefault="00A72C4A" w:rsidP="00896C18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A72C4A"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ab/>
      </w:r>
    </w:p>
    <w:p w14:paraId="6B7CA48E" w14:textId="081537D6" w:rsidR="008C5C56" w:rsidRPr="008C5C56" w:rsidRDefault="003975E6" w:rsidP="00896C1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8C5C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dochody z </w:t>
      </w:r>
      <w:r w:rsidRPr="00896C1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PIT                             </w:t>
      </w:r>
      <w:r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74D3E"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="008C5C56"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="00A74D3E"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8C5C56" w:rsidRPr="008C5C56">
        <w:rPr>
          <w:rFonts w:ascii="Verdana" w:eastAsia="Times New Roman" w:hAnsi="Verdana" w:cs="Arial"/>
          <w:sz w:val="18"/>
          <w:szCs w:val="18"/>
          <w:lang w:eastAsia="pl-PL"/>
        </w:rPr>
        <w:t>6 931 913</w:t>
      </w:r>
      <w:r w:rsidR="00643C54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="008C5C56" w:rsidRPr="008C5C56">
        <w:rPr>
          <w:rFonts w:ascii="Verdana" w:eastAsia="Times New Roman" w:hAnsi="Verdana" w:cs="Arial"/>
          <w:sz w:val="18"/>
          <w:szCs w:val="18"/>
          <w:lang w:eastAsia="pl-PL"/>
        </w:rPr>
        <w:t>316</w:t>
      </w:r>
      <w:r w:rsidR="00643C54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  <w:r w:rsidR="008C5C56" w:rsidRPr="008C5C5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713B4C8" w14:textId="13557891" w:rsidR="00EC7A08" w:rsidRPr="00EC7A08" w:rsidRDefault="00A72C4A" w:rsidP="00896C1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>subwencja o</w:t>
      </w:r>
      <w:r w:rsidR="001160CC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gólna     </w:t>
      </w:r>
      <w:r w:rsidR="00F52E2C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</w:t>
      </w:r>
      <w:r w:rsidR="00F52E2C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</w:t>
      </w: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A74D3E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C7A08" w:rsidRPr="00EC7A08">
        <w:rPr>
          <w:rFonts w:ascii="Verdana" w:eastAsia="Times New Roman" w:hAnsi="Verdana" w:cs="Arial"/>
          <w:sz w:val="18"/>
          <w:szCs w:val="18"/>
          <w:lang w:eastAsia="pl-PL"/>
        </w:rPr>
        <w:t>3 242 357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="00EC7A08" w:rsidRPr="00EC7A08">
        <w:rPr>
          <w:rFonts w:ascii="Verdana" w:eastAsia="Times New Roman" w:hAnsi="Verdana" w:cs="Arial"/>
          <w:sz w:val="18"/>
          <w:szCs w:val="18"/>
          <w:lang w:eastAsia="pl-PL"/>
        </w:rPr>
        <w:t>417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14:paraId="0D312564" w14:textId="56216CC4" w:rsidR="00EC7A08" w:rsidRPr="00EC7A08" w:rsidRDefault="00A72C4A" w:rsidP="00896C1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>dotacje z budżetu państwa</w:t>
      </w: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</w:t>
      </w:r>
      <w:r w:rsidR="00994BC9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64EA5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C7B71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4D3E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4D3E"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C7A08" w:rsidRPr="00EC7A08">
        <w:rPr>
          <w:rFonts w:ascii="Verdana" w:eastAsia="Times New Roman" w:hAnsi="Verdana" w:cs="Arial"/>
          <w:sz w:val="18"/>
          <w:szCs w:val="18"/>
          <w:lang w:eastAsia="pl-PL"/>
        </w:rPr>
        <w:t>2 732 701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="00EC7A08" w:rsidRPr="00EC7A08">
        <w:rPr>
          <w:rFonts w:ascii="Verdana" w:eastAsia="Times New Roman" w:hAnsi="Verdana" w:cs="Arial"/>
          <w:sz w:val="18"/>
          <w:szCs w:val="18"/>
          <w:lang w:eastAsia="pl-PL"/>
        </w:rPr>
        <w:t>583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14:paraId="5C23E709" w14:textId="3167AA6C" w:rsidR="00EC7A08" w:rsidRPr="00EC7A08" w:rsidRDefault="00B872DC" w:rsidP="00896C1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C7A08">
        <w:rPr>
          <w:rFonts w:ascii="Verdana" w:eastAsia="Times New Roman" w:hAnsi="Verdana" w:cs="Arial"/>
          <w:sz w:val="18"/>
          <w:szCs w:val="18"/>
          <w:lang w:eastAsia="pl-PL"/>
        </w:rPr>
        <w:t xml:space="preserve">podatek od nieruchomości                            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C101FD" w:rsidRPr="00EC7A0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C7A08" w:rsidRPr="00EC7A08">
        <w:rPr>
          <w:rFonts w:ascii="Verdana" w:eastAsia="Times New Roman" w:hAnsi="Verdana" w:cs="Arial"/>
          <w:sz w:val="18"/>
          <w:szCs w:val="18"/>
          <w:lang w:eastAsia="pl-PL"/>
        </w:rPr>
        <w:t>1 362 643 062 zł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5A88CB63" w14:textId="1CB935A0" w:rsidR="00EC7A08" w:rsidRDefault="00EC7A08" w:rsidP="00896C1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>dochody z CIT</w:t>
      </w: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                 </w:t>
      </w:r>
      <w:r w:rsidRPr="00EC7A08">
        <w:rPr>
          <w:rFonts w:ascii="Verdana" w:eastAsia="Times New Roman" w:hAnsi="Verdana" w:cs="Arial"/>
          <w:sz w:val="18"/>
          <w:szCs w:val="18"/>
          <w:lang w:eastAsia="pl-PL"/>
        </w:rPr>
        <w:t>1 030 043 462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3C029397" w14:textId="227303DB" w:rsidR="00EC7A08" w:rsidRPr="00EC7A08" w:rsidRDefault="00B872DC" w:rsidP="00896C18">
      <w:pPr>
        <w:pStyle w:val="Akapitzlist"/>
        <w:numPr>
          <w:ilvl w:val="0"/>
          <w:numId w:val="14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dochody z mienia                                            </w:t>
      </w:r>
      <w:r w:rsid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C7A0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C7A08" w:rsidRPr="00EC7A08">
        <w:rPr>
          <w:rFonts w:ascii="Verdana" w:eastAsia="Times New Roman" w:hAnsi="Verdana" w:cs="Arial"/>
          <w:sz w:val="18"/>
          <w:szCs w:val="18"/>
          <w:lang w:eastAsia="pl-PL"/>
        </w:rPr>
        <w:t>970 239 060 zł</w:t>
      </w:r>
      <w:r w:rsidR="00EC7A08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19C408E4" w14:textId="1095D19F" w:rsidR="003E2F2C" w:rsidRDefault="003E2F2C" w:rsidP="00896C18">
      <w:pPr>
        <w:pStyle w:val="Akapitzlist"/>
        <w:spacing w:line="360" w:lineRule="auto"/>
        <w:ind w:left="714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E977C7A" w14:textId="77777777" w:rsidR="003E2F2C" w:rsidRDefault="003E2F2C" w:rsidP="00896C18">
      <w:pPr>
        <w:pStyle w:val="Akapitzlist"/>
        <w:spacing w:line="360" w:lineRule="auto"/>
        <w:ind w:left="714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8C3FED8" w14:textId="367EC75D" w:rsidR="00AF7EFB" w:rsidRPr="00262ED6" w:rsidRDefault="00307492" w:rsidP="003E2F2C">
      <w:pPr>
        <w:spacing w:line="276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Wydatki budżetowe</w:t>
      </w:r>
      <w:r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na poziomie </w:t>
      </w:r>
      <w:r w:rsidR="00EC7A08" w:rsidRPr="00EC7A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93,54</w:t>
      </w:r>
      <w:r w:rsidR="00692D37" w:rsidRPr="00EC7A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%</w:t>
      </w:r>
      <w:r w:rsidR="00692D37" w:rsidRPr="00CA35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planu</w:t>
      </w:r>
      <w:r w:rsidR="00517F6B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  <w:r w:rsidR="005B1D01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W</w:t>
      </w:r>
      <w:r w:rsidR="00692D37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stosunku do</w:t>
      </w:r>
      <w:r w:rsidR="0032456C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stanu na</w:t>
      </w:r>
      <w:r w:rsidR="0032456C" w:rsidRPr="00262ED6">
        <w:rPr>
          <w:rFonts w:ascii="Verdana" w:eastAsia="Times New Roman" w:hAnsi="Verdana" w:cs="Arial"/>
          <w:sz w:val="18"/>
          <w:szCs w:val="18"/>
          <w:lang w:eastAsia="pl-PL"/>
        </w:rPr>
        <w:t xml:space="preserve"> koniec</w:t>
      </w:r>
      <w:r w:rsidR="00692D37" w:rsidRPr="00262ED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B04F7">
        <w:rPr>
          <w:rFonts w:ascii="Verdana" w:eastAsia="Times New Roman" w:hAnsi="Verdana" w:cs="Arial"/>
          <w:sz w:val="18"/>
          <w:szCs w:val="18"/>
          <w:lang w:eastAsia="pl-PL"/>
        </w:rPr>
        <w:t>2020</w:t>
      </w:r>
      <w:r w:rsidR="004B358E">
        <w:rPr>
          <w:rFonts w:ascii="Verdana" w:eastAsia="Times New Roman" w:hAnsi="Verdana" w:cs="Arial"/>
          <w:sz w:val="18"/>
          <w:szCs w:val="18"/>
          <w:lang w:eastAsia="pl-PL"/>
        </w:rPr>
        <w:t xml:space="preserve"> roku</w:t>
      </w:r>
      <w:r w:rsidR="00045622" w:rsidRPr="00262ED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06676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wydatki </w:t>
      </w:r>
      <w:r w:rsidR="00045622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są </w:t>
      </w:r>
      <w:r w:rsidR="00400316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>wyższe</w:t>
      </w:r>
      <w:r w:rsidR="00045622" w:rsidRPr="00262ED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92D37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>o</w:t>
      </w:r>
      <w:r w:rsidR="0032456C" w:rsidRPr="00262ED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5B1D01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59 283</w:t>
      </w:r>
      <w:r w:rsidR="00262ED6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</w:t>
      </w:r>
      <w:r w:rsidR="005B1D01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397</w:t>
      </w:r>
      <w:r w:rsidR="00262ED6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 tj. o 0,29 </w:t>
      </w:r>
      <w:r w:rsidR="00321C7D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%.</w:t>
      </w:r>
    </w:p>
    <w:p w14:paraId="32146FC6" w14:textId="77471D69" w:rsidR="00483ADA" w:rsidRDefault="006F0698" w:rsidP="003E2F2C">
      <w:pPr>
        <w:spacing w:line="276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92D37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na poziomie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62ED6" w:rsidRPr="00262ED6">
        <w:rPr>
          <w:rFonts w:ascii="Verdana" w:eastAsia="Times New Roman" w:hAnsi="Verdana" w:cs="Times New Roman"/>
          <w:b/>
          <w:sz w:val="18"/>
          <w:szCs w:val="18"/>
          <w:lang w:eastAsia="pl-PL"/>
        </w:rPr>
        <w:t>95,82</w:t>
      </w:r>
      <w:r w:rsidR="001D2154" w:rsidRPr="00400316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1D2154" w:rsidRPr="002255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</w:t>
      </w:r>
      <w:r w:rsidR="00517F6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1D2154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 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62ED6">
        <w:rPr>
          <w:rFonts w:ascii="Verdana" w:eastAsia="Times New Roman" w:hAnsi="Verdana" w:cs="Times New Roman"/>
          <w:bCs/>
          <w:sz w:val="18"/>
          <w:szCs w:val="18"/>
          <w:lang w:eastAsia="pl-PL"/>
        </w:rPr>
        <w:t>IV</w:t>
      </w:r>
      <w:r w:rsidR="00321C7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kwartału </w:t>
      </w:r>
      <w:r w:rsidR="009B04F7">
        <w:rPr>
          <w:rFonts w:ascii="Verdana" w:eastAsia="Times New Roman" w:hAnsi="Verdana" w:cs="Times New Roman"/>
          <w:bCs/>
          <w:sz w:val="18"/>
          <w:szCs w:val="18"/>
          <w:lang w:eastAsia="pl-PL"/>
        </w:rPr>
        <w:t>2020</w:t>
      </w:r>
      <w:r w:rsidR="00C72D2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roku</w:t>
      </w:r>
      <w:r w:rsidR="007C6FF2" w:rsidRPr="007C6FF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872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wzrosły</w:t>
      </w:r>
      <w:r w:rsidR="004963A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one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D2154" w:rsidRPr="004963AA">
        <w:rPr>
          <w:rFonts w:ascii="Verdana" w:hAnsi="Verdana" w:cs="Arial"/>
          <w:b/>
          <w:sz w:val="18"/>
          <w:szCs w:val="18"/>
        </w:rPr>
        <w:t>o</w:t>
      </w:r>
      <w:r w:rsidR="007C6FF2" w:rsidRPr="004963AA">
        <w:rPr>
          <w:rFonts w:ascii="Verdana" w:hAnsi="Verdana" w:cs="Arial"/>
          <w:b/>
          <w:sz w:val="18"/>
          <w:szCs w:val="18"/>
        </w:rPr>
        <w:t> </w:t>
      </w:r>
      <w:r w:rsidR="00262ED6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351 312 567</w:t>
      </w:r>
      <w:r w:rsidR="00B872DC" w:rsidRPr="00262ED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322226" w:rsidRPr="00262ED6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, tj</w:t>
      </w:r>
      <w:r w:rsidR="0032222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. o</w:t>
      </w:r>
      <w:r w:rsidR="00762CD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85059F">
        <w:rPr>
          <w:rFonts w:ascii="Verdana" w:eastAsia="Times New Roman" w:hAnsi="Verdana" w:cs="Arial"/>
          <w:b/>
          <w:sz w:val="18"/>
          <w:szCs w:val="18"/>
          <w:lang w:eastAsia="pl-PL"/>
        </w:rPr>
        <w:t>1,</w:t>
      </w:r>
      <w:r w:rsidR="00262ED6">
        <w:rPr>
          <w:rFonts w:ascii="Verdana" w:eastAsia="Times New Roman" w:hAnsi="Verdana" w:cs="Arial"/>
          <w:b/>
          <w:sz w:val="18"/>
          <w:szCs w:val="18"/>
          <w:lang w:eastAsia="pl-PL"/>
        </w:rPr>
        <w:t>96</w:t>
      </w:r>
      <w:r w:rsidR="004963AA">
        <w:rPr>
          <w:rFonts w:ascii="Verdana" w:eastAsia="Times New Roman" w:hAnsi="Verdana" w:cs="Arial"/>
          <w:b/>
          <w:sz w:val="18"/>
          <w:szCs w:val="18"/>
          <w:lang w:eastAsia="pl-PL"/>
        </w:rPr>
        <w:t>%.</w:t>
      </w:r>
    </w:p>
    <w:p w14:paraId="5510C776" w14:textId="23DA2096" w:rsidR="00B736E5" w:rsidRDefault="005D2009" w:rsidP="00896C18">
      <w:pPr>
        <w:spacing w:after="0" w:line="36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>W</w:t>
      </w:r>
      <w:r w:rsidR="006F0698" w:rsidRPr="00483AD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zrealizowane w ciągu </w:t>
      </w:r>
      <w:r w:rsidR="00262ED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roku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przeznaczone 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zostały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finansowanie</w:t>
      </w:r>
      <w:r w:rsidR="00C06756">
        <w:rPr>
          <w:rFonts w:ascii="Verdana" w:eastAsia="Times New Roman" w:hAnsi="Verdana" w:cs="Times New Roman"/>
          <w:bCs/>
          <w:sz w:val="18"/>
          <w:szCs w:val="18"/>
          <w:lang w:eastAsia="pl-PL"/>
        </w:rPr>
        <w:t>,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m.in.:</w:t>
      </w:r>
    </w:p>
    <w:p w14:paraId="7FC0CD1C" w14:textId="77777777" w:rsidR="004A0FD8" w:rsidRPr="004A0FD8" w:rsidRDefault="008E4F6C" w:rsidP="00896C18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</w:p>
    <w:p w14:paraId="2289A3CF" w14:textId="5C2C6AC9" w:rsidR="00D30904" w:rsidRPr="00C01E9B" w:rsidRDefault="004A0FD8" w:rsidP="00896C18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>edukacji</w:t>
      </w:r>
      <w:r w:rsidR="0032456C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 xml:space="preserve">         </w:t>
      </w:r>
      <w:r w:rsidR="001972E3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</w:t>
      </w:r>
      <w:r w:rsidR="005D463B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972E3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2E1801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</w:t>
      </w:r>
      <w:r w:rsidR="002E2A30" w:rsidRPr="00C01E9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62ED6">
        <w:rPr>
          <w:rFonts w:ascii="Verdana" w:eastAsia="Times New Roman" w:hAnsi="Verdana" w:cs="Times New Roman"/>
          <w:bCs/>
          <w:sz w:val="18"/>
          <w:szCs w:val="18"/>
          <w:lang w:eastAsia="pl-PL"/>
        </w:rPr>
        <w:t>5 112 420 978</w:t>
      </w:r>
      <w:r w:rsidR="00D30904" w:rsidRPr="00C01E9B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14:paraId="7478FFB4" w14:textId="77777777" w:rsidR="00122D63" w:rsidRDefault="00122D63" w:rsidP="00896C18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E180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zakupu usług komunikacji miejskiej                                        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2 742 916 705 z</w:t>
      </w:r>
      <w:r>
        <w:rPr>
          <w:rFonts w:ascii="Verdana" w:eastAsia="Times New Roman" w:hAnsi="Verdana" w:cs="Arial"/>
          <w:sz w:val="18"/>
          <w:szCs w:val="18"/>
          <w:lang w:eastAsia="pl-PL"/>
        </w:rPr>
        <w:t>ł,</w:t>
      </w:r>
    </w:p>
    <w:p w14:paraId="155E00C3" w14:textId="0D11C239" w:rsidR="00F21D3B" w:rsidRPr="002E1801" w:rsidRDefault="00F21D3B" w:rsidP="00896C18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 xml:space="preserve">wypłata świadczeń i zasiłków oraz pomoc </w:t>
      </w:r>
      <w:r w:rsidR="00F37623">
        <w:rPr>
          <w:rFonts w:ascii="Verdana" w:eastAsia="Times New Roman" w:hAnsi="Verdana" w:cs="Arial"/>
          <w:sz w:val="18"/>
          <w:szCs w:val="18"/>
          <w:lang w:eastAsia="pl-PL"/>
        </w:rPr>
        <w:t xml:space="preserve">w naturze           </w:t>
      </w: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="00122D63">
        <w:rPr>
          <w:rFonts w:ascii="Verdana" w:eastAsia="Times New Roman" w:hAnsi="Verdana" w:cs="Arial"/>
          <w:sz w:val="18"/>
          <w:szCs w:val="18"/>
          <w:lang w:eastAsia="pl-PL"/>
        </w:rPr>
        <w:t>2 365 799 192</w:t>
      </w:r>
      <w:r w:rsidRPr="002E1801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6051C3C7" w14:textId="40780DA6" w:rsidR="00F21D3B" w:rsidRPr="00F21D3B" w:rsidRDefault="00F21D3B" w:rsidP="00896C18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>wpłaty tzw. „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janosikowego”                                                       </w:t>
      </w:r>
      <w:r w:rsidR="00122D63">
        <w:rPr>
          <w:rFonts w:ascii="Verdana" w:eastAsia="Times New Roman" w:hAnsi="Verdana" w:cs="Times New Roman"/>
          <w:bCs/>
          <w:sz w:val="18"/>
          <w:szCs w:val="18"/>
          <w:lang w:eastAsia="pl-PL"/>
        </w:rPr>
        <w:t>1 294 174 835</w:t>
      </w:r>
      <w:r w:rsidRPr="00F21D3B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3BD08036" w14:textId="31F409C4" w:rsidR="00F21D3B" w:rsidRPr="00F21D3B" w:rsidRDefault="00F21D3B" w:rsidP="00896C18">
      <w:pPr>
        <w:pStyle w:val="Akapitzlist"/>
        <w:numPr>
          <w:ilvl w:val="0"/>
          <w:numId w:val="10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21D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gospodarki odpadami                                                                </w:t>
      </w:r>
      <w:r w:rsidR="00210B2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F21D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22D63">
        <w:rPr>
          <w:rFonts w:ascii="Verdana" w:eastAsia="Times New Roman" w:hAnsi="Verdana" w:cs="Times New Roman"/>
          <w:bCs/>
          <w:sz w:val="18"/>
          <w:szCs w:val="18"/>
          <w:lang w:eastAsia="pl-PL"/>
        </w:rPr>
        <w:t>949 176 980</w:t>
      </w:r>
      <w:r w:rsidRPr="00F21D3B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48D36611" w14:textId="68912FA7" w:rsidR="00F21D3B" w:rsidRPr="00F21D3B" w:rsidRDefault="00F21D3B" w:rsidP="00896C18">
      <w:pPr>
        <w:pStyle w:val="Akapitzlist"/>
        <w:numPr>
          <w:ilvl w:val="0"/>
          <w:numId w:val="11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21D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utrzymania zasobu komunalnego                                   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</w:t>
      </w:r>
      <w:r w:rsidR="00122D63">
        <w:rPr>
          <w:rFonts w:ascii="Verdana" w:eastAsia="Times New Roman" w:hAnsi="Verdana" w:cs="Times New Roman"/>
          <w:bCs/>
          <w:sz w:val="18"/>
          <w:szCs w:val="18"/>
          <w:lang w:eastAsia="pl-PL"/>
        </w:rPr>
        <w:t>868 798 770</w:t>
      </w:r>
      <w:r w:rsidRPr="00F21D3B">
        <w:rPr>
          <w:rFonts w:ascii="Verdana" w:eastAsia="Times New Roman" w:hAnsi="Verdana" w:cs="Arial"/>
          <w:sz w:val="18"/>
          <w:szCs w:val="18"/>
          <w:lang w:eastAsia="pl-PL"/>
        </w:rPr>
        <w:t xml:space="preserve"> zł.</w:t>
      </w:r>
    </w:p>
    <w:p w14:paraId="7D113C23" w14:textId="77777777" w:rsidR="005D463B" w:rsidRPr="005D463B" w:rsidRDefault="005D463B" w:rsidP="00896C18">
      <w:pPr>
        <w:pStyle w:val="Akapitzlist"/>
        <w:spacing w:line="360" w:lineRule="auto"/>
        <w:ind w:left="786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93D0201" w14:textId="16251FCB" w:rsidR="005D463B" w:rsidRPr="00A368FB" w:rsidRDefault="00BA025F" w:rsidP="003E2F2C">
      <w:pPr>
        <w:spacing w:line="276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BA025F">
        <w:rPr>
          <w:rFonts w:ascii="Verdana" w:eastAsia="Times New Roman" w:hAnsi="Verdana" w:cs="Arial"/>
          <w:sz w:val="18"/>
          <w:szCs w:val="18"/>
          <w:lang w:eastAsia="pl-PL"/>
        </w:rPr>
        <w:t>Stopień realizacji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planu w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ydatk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ów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majątkow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ych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wyniósł</w:t>
      </w:r>
      <w:r w:rsidR="005D463B"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22D63" w:rsidRPr="00122D6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76,77</w:t>
      </w:r>
      <w:r w:rsidR="005D463B" w:rsidRPr="00122D6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%</w:t>
      </w:r>
      <w:r w:rsidR="00517F6B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  <w:r w:rsidR="005D463B"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14:paraId="3946F0EC" w14:textId="77777777" w:rsidR="00F37623" w:rsidRDefault="005D463B" w:rsidP="003E2F2C">
      <w:pPr>
        <w:spacing w:line="276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994BC9">
        <w:rPr>
          <w:rFonts w:ascii="Verdana" w:hAnsi="Verdana"/>
          <w:b/>
          <w:sz w:val="18"/>
          <w:szCs w:val="18"/>
        </w:rPr>
        <w:t>Zadłużenie</w:t>
      </w:r>
      <w:r w:rsidRPr="00994BC9">
        <w:rPr>
          <w:rFonts w:ascii="Verdana" w:hAnsi="Verdana"/>
          <w:sz w:val="18"/>
          <w:szCs w:val="18"/>
        </w:rPr>
        <w:t xml:space="preserve"> m.st. Warszawy na koniec 20</w:t>
      </w:r>
      <w:r w:rsidR="002255EA" w:rsidRPr="00994BC9">
        <w:rPr>
          <w:rFonts w:ascii="Verdana" w:hAnsi="Verdana"/>
          <w:sz w:val="18"/>
          <w:szCs w:val="18"/>
        </w:rPr>
        <w:t>2</w:t>
      </w:r>
      <w:r w:rsidR="00754AD7">
        <w:rPr>
          <w:rFonts w:ascii="Verdana" w:hAnsi="Verdana"/>
          <w:sz w:val="18"/>
          <w:szCs w:val="18"/>
        </w:rPr>
        <w:t>1</w:t>
      </w:r>
      <w:r w:rsidRPr="00994BC9">
        <w:rPr>
          <w:rFonts w:ascii="Verdana" w:hAnsi="Verdana"/>
          <w:sz w:val="18"/>
          <w:szCs w:val="18"/>
        </w:rPr>
        <w:t xml:space="preserve"> r</w:t>
      </w:r>
      <w:r w:rsidR="009B04F7">
        <w:rPr>
          <w:rFonts w:ascii="Verdana" w:hAnsi="Verdana"/>
          <w:sz w:val="18"/>
          <w:szCs w:val="18"/>
        </w:rPr>
        <w:t>oku</w:t>
      </w:r>
      <w:r w:rsidRPr="00994BC9">
        <w:rPr>
          <w:rFonts w:ascii="Verdana" w:hAnsi="Verdana"/>
          <w:sz w:val="18"/>
          <w:szCs w:val="18"/>
        </w:rPr>
        <w:t xml:space="preserve"> </w:t>
      </w:r>
      <w:r w:rsidRPr="00994BC9">
        <w:rPr>
          <w:rFonts w:ascii="Verdana" w:hAnsi="Verdana"/>
          <w:b/>
          <w:sz w:val="18"/>
          <w:szCs w:val="18"/>
        </w:rPr>
        <w:t>wyniosło</w:t>
      </w:r>
      <w:r w:rsidR="00C01E9B">
        <w:rPr>
          <w:rFonts w:ascii="Verdana" w:hAnsi="Verdana"/>
          <w:b/>
          <w:sz w:val="18"/>
          <w:szCs w:val="18"/>
        </w:rPr>
        <w:t xml:space="preserve"> 5</w:t>
      </w:r>
      <w:r w:rsidR="00BF3570">
        <w:rPr>
          <w:rFonts w:ascii="Verdana" w:hAnsi="Verdana"/>
          <w:b/>
          <w:sz w:val="18"/>
          <w:szCs w:val="18"/>
        </w:rPr>
        <w:t> 811</w:t>
      </w:r>
      <w:r w:rsidR="00517F6B">
        <w:rPr>
          <w:rFonts w:ascii="Verdana" w:hAnsi="Verdana"/>
          <w:b/>
          <w:sz w:val="18"/>
          <w:szCs w:val="18"/>
        </w:rPr>
        <w:t> </w:t>
      </w:r>
      <w:r w:rsidR="00BF3570">
        <w:rPr>
          <w:rFonts w:ascii="Verdana" w:hAnsi="Verdana"/>
          <w:b/>
          <w:sz w:val="18"/>
          <w:szCs w:val="18"/>
        </w:rPr>
        <w:t>119</w:t>
      </w:r>
      <w:r w:rsidR="00517F6B">
        <w:rPr>
          <w:rFonts w:ascii="Verdana" w:hAnsi="Verdana"/>
          <w:b/>
          <w:sz w:val="18"/>
          <w:szCs w:val="18"/>
        </w:rPr>
        <w:t xml:space="preserve"> </w:t>
      </w:r>
      <w:r w:rsidR="00BF3570">
        <w:rPr>
          <w:rFonts w:ascii="Verdana" w:hAnsi="Verdana"/>
          <w:b/>
          <w:sz w:val="18"/>
          <w:szCs w:val="18"/>
        </w:rPr>
        <w:t>555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zł.</w:t>
      </w:r>
      <w:r w:rsid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14:paraId="316B6566" w14:textId="6AF3B20B" w:rsidR="005D463B" w:rsidRPr="00827B82" w:rsidRDefault="005D463B" w:rsidP="003E2F2C">
      <w:pPr>
        <w:spacing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Wskaźnik zadłużenia 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 relacji do</w:t>
      </w:r>
      <w:r w:rsidR="00542BC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wykonanych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dochodów ogółem na</w:t>
      </w:r>
      <w:r w:rsidR="00BF357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BA025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31 grudnia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20</w:t>
      </w:r>
      <w:r w:rsidR="002255EA"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2</w:t>
      </w:r>
      <w:r w:rsidR="00754AD7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1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r</w:t>
      </w:r>
      <w:r w:rsidR="009B04F7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oku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wyniósł </w:t>
      </w:r>
      <w:r w:rsidR="00C01E9B" w:rsidRPr="00C01E9B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26,</w:t>
      </w:r>
      <w:r w:rsidR="00BF3570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91</w:t>
      </w:r>
      <w:r w:rsidR="00C01E9B" w:rsidRPr="00C01E9B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%.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 </w:t>
      </w:r>
      <w:r w:rsidR="00AE7F1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stanu na 31 grudnia </w:t>
      </w:r>
      <w:r w:rsidR="009B04F7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2020</w:t>
      </w:r>
      <w:r w:rsidR="00BF357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roku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poziom długu </w:t>
      </w:r>
      <w:r w:rsidR="00332F5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zwiększył się</w:t>
      </w:r>
      <w:r w:rsidR="00517F6B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o </w:t>
      </w:r>
      <w:r w:rsidR="00542BCF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158 </w:t>
      </w:r>
      <w:r w:rsidR="006208B2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311</w:t>
      </w:r>
      <w:r w:rsid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6208B2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701</w:t>
      </w:r>
      <w:r w:rsid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332F5F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zł</w:t>
      </w:r>
      <w:r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, tj. o</w:t>
      </w:r>
      <w:r w:rsid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542BCF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2,80</w:t>
      </w:r>
      <w:r w:rsidR="004C6007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  <w:r w:rsidR="00994BC9"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</w:t>
      </w:r>
      <w:r w:rsidRPr="00896C18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.</w:t>
      </w:r>
    </w:p>
    <w:p w14:paraId="001DC211" w14:textId="77777777" w:rsidR="005D463B" w:rsidRPr="00827B82" w:rsidRDefault="005D463B" w:rsidP="00896C18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0AAA8A5" w14:textId="77777777" w:rsidR="008E4F6C" w:rsidRDefault="008E4F6C" w:rsidP="00896C18">
      <w:pPr>
        <w:pStyle w:val="Akapitzlist"/>
        <w:spacing w:after="0" w:line="36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7E148AB2" w14:textId="77777777" w:rsidR="00104D81" w:rsidRPr="00827B82" w:rsidRDefault="00104D81" w:rsidP="00896C18">
      <w:pPr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519C52E" w14:textId="77777777" w:rsidR="005D463B" w:rsidRPr="00827B82" w:rsidRDefault="005D463B" w:rsidP="00896C18">
      <w:pPr>
        <w:spacing w:after="0" w:line="360" w:lineRule="auto"/>
        <w:rPr>
          <w:rFonts w:ascii="Verdana" w:hAnsi="Verdana"/>
          <w:sz w:val="18"/>
          <w:szCs w:val="18"/>
        </w:rPr>
      </w:pPr>
    </w:p>
    <w:sectPr w:rsidR="005D463B" w:rsidRPr="00827B82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D85D" w14:textId="77777777" w:rsidR="00420F4C" w:rsidRDefault="00420F4C" w:rsidP="002255EA">
      <w:pPr>
        <w:spacing w:after="0" w:line="240" w:lineRule="auto"/>
      </w:pPr>
      <w:r>
        <w:separator/>
      </w:r>
    </w:p>
  </w:endnote>
  <w:endnote w:type="continuationSeparator" w:id="0">
    <w:p w14:paraId="2F139CA4" w14:textId="77777777" w:rsidR="00420F4C" w:rsidRDefault="00420F4C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02F3" w14:textId="77777777" w:rsidR="00420F4C" w:rsidRDefault="00420F4C" w:rsidP="002255EA">
      <w:pPr>
        <w:spacing w:after="0" w:line="240" w:lineRule="auto"/>
      </w:pPr>
      <w:r>
        <w:separator/>
      </w:r>
    </w:p>
  </w:footnote>
  <w:footnote w:type="continuationSeparator" w:id="0">
    <w:p w14:paraId="61DB8215" w14:textId="77777777" w:rsidR="00420F4C" w:rsidRDefault="00420F4C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544E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29E8"/>
    <w:multiLevelType w:val="hybridMultilevel"/>
    <w:tmpl w:val="BFAA9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783F"/>
    <w:rsid w:val="000409FB"/>
    <w:rsid w:val="000443A2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160CC"/>
    <w:rsid w:val="001229A1"/>
    <w:rsid w:val="00122D63"/>
    <w:rsid w:val="00124A64"/>
    <w:rsid w:val="00140372"/>
    <w:rsid w:val="00140BB1"/>
    <w:rsid w:val="00143A4E"/>
    <w:rsid w:val="001456A7"/>
    <w:rsid w:val="00160D00"/>
    <w:rsid w:val="00170256"/>
    <w:rsid w:val="0018439D"/>
    <w:rsid w:val="0019042D"/>
    <w:rsid w:val="00190B17"/>
    <w:rsid w:val="001972E3"/>
    <w:rsid w:val="001A43C4"/>
    <w:rsid w:val="001B655C"/>
    <w:rsid w:val="001C3851"/>
    <w:rsid w:val="001C4AE4"/>
    <w:rsid w:val="001D2154"/>
    <w:rsid w:val="001D2916"/>
    <w:rsid w:val="00210B29"/>
    <w:rsid w:val="00215925"/>
    <w:rsid w:val="0022111A"/>
    <w:rsid w:val="002255EA"/>
    <w:rsid w:val="00240159"/>
    <w:rsid w:val="0025744E"/>
    <w:rsid w:val="00262ED6"/>
    <w:rsid w:val="00263DB6"/>
    <w:rsid w:val="00267161"/>
    <w:rsid w:val="00281B35"/>
    <w:rsid w:val="002822B7"/>
    <w:rsid w:val="002826D5"/>
    <w:rsid w:val="002839DA"/>
    <w:rsid w:val="002946BE"/>
    <w:rsid w:val="002952B3"/>
    <w:rsid w:val="002B4219"/>
    <w:rsid w:val="002C2DF3"/>
    <w:rsid w:val="002D59EB"/>
    <w:rsid w:val="002E1801"/>
    <w:rsid w:val="002E2A30"/>
    <w:rsid w:val="002E5E50"/>
    <w:rsid w:val="00307492"/>
    <w:rsid w:val="00310BB7"/>
    <w:rsid w:val="003159C4"/>
    <w:rsid w:val="00315FE6"/>
    <w:rsid w:val="00320E3C"/>
    <w:rsid w:val="00321C7D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B397A"/>
    <w:rsid w:val="003C0D04"/>
    <w:rsid w:val="003D246A"/>
    <w:rsid w:val="003E2F2C"/>
    <w:rsid w:val="003F58FF"/>
    <w:rsid w:val="00400316"/>
    <w:rsid w:val="00420F4C"/>
    <w:rsid w:val="00456BAD"/>
    <w:rsid w:val="00483ADA"/>
    <w:rsid w:val="004873A7"/>
    <w:rsid w:val="004963AA"/>
    <w:rsid w:val="004A0DB2"/>
    <w:rsid w:val="004A0FD8"/>
    <w:rsid w:val="004B358E"/>
    <w:rsid w:val="004C6007"/>
    <w:rsid w:val="00517F6B"/>
    <w:rsid w:val="0053752F"/>
    <w:rsid w:val="00542BCF"/>
    <w:rsid w:val="00555740"/>
    <w:rsid w:val="00563BFF"/>
    <w:rsid w:val="00563EB7"/>
    <w:rsid w:val="005819EA"/>
    <w:rsid w:val="00587360"/>
    <w:rsid w:val="00590C6F"/>
    <w:rsid w:val="00593A93"/>
    <w:rsid w:val="005B1D01"/>
    <w:rsid w:val="005C7B07"/>
    <w:rsid w:val="005D2009"/>
    <w:rsid w:val="005D463B"/>
    <w:rsid w:val="005D72EF"/>
    <w:rsid w:val="005F2664"/>
    <w:rsid w:val="005F383B"/>
    <w:rsid w:val="00603637"/>
    <w:rsid w:val="006178F0"/>
    <w:rsid w:val="006208B2"/>
    <w:rsid w:val="0062113B"/>
    <w:rsid w:val="006363DE"/>
    <w:rsid w:val="00643C54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6F28A0"/>
    <w:rsid w:val="00710541"/>
    <w:rsid w:val="007118AF"/>
    <w:rsid w:val="007310DC"/>
    <w:rsid w:val="0075476D"/>
    <w:rsid w:val="00754AD7"/>
    <w:rsid w:val="00762CD7"/>
    <w:rsid w:val="00790E7A"/>
    <w:rsid w:val="007A049B"/>
    <w:rsid w:val="007C0566"/>
    <w:rsid w:val="007C422B"/>
    <w:rsid w:val="007C6FF2"/>
    <w:rsid w:val="007E63B3"/>
    <w:rsid w:val="007F7354"/>
    <w:rsid w:val="008110E3"/>
    <w:rsid w:val="0081169E"/>
    <w:rsid w:val="00827B82"/>
    <w:rsid w:val="008433AF"/>
    <w:rsid w:val="0085059F"/>
    <w:rsid w:val="008839F7"/>
    <w:rsid w:val="00896C18"/>
    <w:rsid w:val="008B0BCF"/>
    <w:rsid w:val="008B480D"/>
    <w:rsid w:val="008C5C56"/>
    <w:rsid w:val="008D715D"/>
    <w:rsid w:val="008E4F6C"/>
    <w:rsid w:val="00906676"/>
    <w:rsid w:val="0091047C"/>
    <w:rsid w:val="009218AB"/>
    <w:rsid w:val="00923FB2"/>
    <w:rsid w:val="009733F2"/>
    <w:rsid w:val="00986E45"/>
    <w:rsid w:val="00994BC9"/>
    <w:rsid w:val="0099515B"/>
    <w:rsid w:val="009A0DA6"/>
    <w:rsid w:val="009B04F7"/>
    <w:rsid w:val="009B2092"/>
    <w:rsid w:val="009B6597"/>
    <w:rsid w:val="009D3830"/>
    <w:rsid w:val="009D7579"/>
    <w:rsid w:val="009E6BEE"/>
    <w:rsid w:val="009F54CE"/>
    <w:rsid w:val="00A368FB"/>
    <w:rsid w:val="00A55B4C"/>
    <w:rsid w:val="00A564AE"/>
    <w:rsid w:val="00A60F0B"/>
    <w:rsid w:val="00A72C4A"/>
    <w:rsid w:val="00A74D3E"/>
    <w:rsid w:val="00A930E5"/>
    <w:rsid w:val="00A976EE"/>
    <w:rsid w:val="00AA456D"/>
    <w:rsid w:val="00AB50FE"/>
    <w:rsid w:val="00AD2618"/>
    <w:rsid w:val="00AD773C"/>
    <w:rsid w:val="00AE7F15"/>
    <w:rsid w:val="00AF3477"/>
    <w:rsid w:val="00AF7EFB"/>
    <w:rsid w:val="00B0321D"/>
    <w:rsid w:val="00B173C6"/>
    <w:rsid w:val="00B308A3"/>
    <w:rsid w:val="00B401A3"/>
    <w:rsid w:val="00B54EAF"/>
    <w:rsid w:val="00B56F1A"/>
    <w:rsid w:val="00B736E5"/>
    <w:rsid w:val="00B73D29"/>
    <w:rsid w:val="00B81412"/>
    <w:rsid w:val="00B872DC"/>
    <w:rsid w:val="00B905D3"/>
    <w:rsid w:val="00B939B2"/>
    <w:rsid w:val="00B96F4C"/>
    <w:rsid w:val="00BA025F"/>
    <w:rsid w:val="00BB7BAD"/>
    <w:rsid w:val="00BD4512"/>
    <w:rsid w:val="00BE09BA"/>
    <w:rsid w:val="00BE2BE0"/>
    <w:rsid w:val="00BE598A"/>
    <w:rsid w:val="00BF3570"/>
    <w:rsid w:val="00C01E9B"/>
    <w:rsid w:val="00C06756"/>
    <w:rsid w:val="00C07B78"/>
    <w:rsid w:val="00C101FD"/>
    <w:rsid w:val="00C31D5C"/>
    <w:rsid w:val="00C3332F"/>
    <w:rsid w:val="00C355C4"/>
    <w:rsid w:val="00C57120"/>
    <w:rsid w:val="00C64EA5"/>
    <w:rsid w:val="00C72D28"/>
    <w:rsid w:val="00CA2FA9"/>
    <w:rsid w:val="00CA358B"/>
    <w:rsid w:val="00CE4918"/>
    <w:rsid w:val="00D12ECC"/>
    <w:rsid w:val="00D132E0"/>
    <w:rsid w:val="00D151E1"/>
    <w:rsid w:val="00D30904"/>
    <w:rsid w:val="00D32BA8"/>
    <w:rsid w:val="00D769BB"/>
    <w:rsid w:val="00D87D27"/>
    <w:rsid w:val="00D911DB"/>
    <w:rsid w:val="00D958E1"/>
    <w:rsid w:val="00DD65C2"/>
    <w:rsid w:val="00DF779C"/>
    <w:rsid w:val="00E40B68"/>
    <w:rsid w:val="00E4129D"/>
    <w:rsid w:val="00E55AAC"/>
    <w:rsid w:val="00E55AB9"/>
    <w:rsid w:val="00E73588"/>
    <w:rsid w:val="00E815C8"/>
    <w:rsid w:val="00E8320E"/>
    <w:rsid w:val="00E92CDB"/>
    <w:rsid w:val="00EA4EEA"/>
    <w:rsid w:val="00EB35F7"/>
    <w:rsid w:val="00EB6115"/>
    <w:rsid w:val="00EC5418"/>
    <w:rsid w:val="00EC7A08"/>
    <w:rsid w:val="00ED2B55"/>
    <w:rsid w:val="00ED3AB0"/>
    <w:rsid w:val="00F05F0F"/>
    <w:rsid w:val="00F13023"/>
    <w:rsid w:val="00F13D4E"/>
    <w:rsid w:val="00F2174C"/>
    <w:rsid w:val="00F21D3B"/>
    <w:rsid w:val="00F37623"/>
    <w:rsid w:val="00F5066C"/>
    <w:rsid w:val="00F52E2C"/>
    <w:rsid w:val="00F538B6"/>
    <w:rsid w:val="00F91DD6"/>
    <w:rsid w:val="00F91E7A"/>
    <w:rsid w:val="00FA182E"/>
    <w:rsid w:val="00FC4526"/>
    <w:rsid w:val="00FC4BB7"/>
    <w:rsid w:val="00FE0177"/>
    <w:rsid w:val="00FE4B33"/>
    <w:rsid w:val="00FF5B4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FF33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139F-3EEC-4D97-A52A-00C5289B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Andrzan Katarzyna</cp:lastModifiedBy>
  <cp:revision>2</cp:revision>
  <cp:lastPrinted>2022-02-23T11:30:00Z</cp:lastPrinted>
  <dcterms:created xsi:type="dcterms:W3CDTF">2022-02-25T08:04:00Z</dcterms:created>
  <dcterms:modified xsi:type="dcterms:W3CDTF">2022-02-25T08:04:00Z</dcterms:modified>
</cp:coreProperties>
</file>