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50" w:rsidRPr="00FC6638" w:rsidRDefault="004B4D5A" w:rsidP="00946F06">
      <w:pPr>
        <w:jc w:val="center"/>
        <w:rPr>
          <w:rFonts w:ascii="Arial" w:hAnsi="Arial" w:cs="Arial"/>
          <w:szCs w:val="22"/>
        </w:rPr>
      </w:pPr>
      <w:r w:rsidRPr="009C764A">
        <w:rPr>
          <w:noProof/>
        </w:rPr>
        <w:drawing>
          <wp:inline distT="0" distB="0" distL="0" distR="0">
            <wp:extent cx="3962400" cy="922020"/>
            <wp:effectExtent l="0" t="0" r="0" b="0"/>
            <wp:docPr id="1" name="Obraz 1" descr="Herb Warszawy i nazwa organu: Prezydent Miasta Stołecznego 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ezydent_m_st_Warszaw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1FF" w:rsidRDefault="0076194D" w:rsidP="00050247">
      <w:pPr>
        <w:tabs>
          <w:tab w:val="left" w:pos="4320"/>
        </w:tabs>
        <w:jc w:val="right"/>
        <w:rPr>
          <w:rFonts w:cs="Calibri"/>
          <w:b/>
          <w:szCs w:val="22"/>
        </w:rPr>
      </w:pPr>
      <w:r w:rsidRPr="00356DC6">
        <w:rPr>
          <w:rFonts w:cs="Calibri"/>
          <w:b/>
          <w:szCs w:val="22"/>
        </w:rPr>
        <w:t xml:space="preserve">Warszawa, </w:t>
      </w:r>
      <w:r w:rsidR="00946F06">
        <w:rPr>
          <w:rFonts w:cs="Calibri"/>
          <w:b/>
          <w:szCs w:val="22"/>
        </w:rPr>
        <w:t>24-05-</w:t>
      </w:r>
      <w:r w:rsidR="00F478DB">
        <w:rPr>
          <w:rFonts w:cs="Calibri"/>
          <w:b/>
          <w:szCs w:val="22"/>
        </w:rPr>
        <w:t>2022</w:t>
      </w:r>
      <w:r w:rsidR="00946F06">
        <w:rPr>
          <w:rFonts w:cs="Calibri"/>
          <w:b/>
          <w:szCs w:val="22"/>
        </w:rPr>
        <w:t xml:space="preserve"> r.</w:t>
      </w:r>
    </w:p>
    <w:p w:rsidR="00050247" w:rsidRPr="00356DC6" w:rsidRDefault="00050247" w:rsidP="00995053">
      <w:pPr>
        <w:tabs>
          <w:tab w:val="left" w:pos="4320"/>
        </w:tabs>
        <w:jc w:val="both"/>
        <w:rPr>
          <w:rFonts w:cs="Calibri"/>
          <w:b/>
          <w:szCs w:val="22"/>
        </w:rPr>
      </w:pPr>
      <w:r w:rsidRPr="00356DC6">
        <w:rPr>
          <w:rFonts w:cs="Calibri"/>
          <w:b/>
          <w:szCs w:val="22"/>
        </w:rPr>
        <w:t>COP-13.310.</w:t>
      </w:r>
      <w:r>
        <w:rPr>
          <w:rFonts w:cs="Calibri"/>
          <w:b/>
          <w:szCs w:val="22"/>
        </w:rPr>
        <w:t>1</w:t>
      </w:r>
      <w:r w:rsidRPr="00356DC6">
        <w:rPr>
          <w:rFonts w:cs="Calibri"/>
          <w:b/>
          <w:szCs w:val="22"/>
        </w:rPr>
        <w:t>.202</w:t>
      </w:r>
      <w:r>
        <w:rPr>
          <w:rFonts w:cs="Calibri"/>
          <w:b/>
          <w:szCs w:val="22"/>
        </w:rPr>
        <w:t>0</w:t>
      </w:r>
      <w:r w:rsidRPr="00356DC6">
        <w:rPr>
          <w:rFonts w:cs="Calibri"/>
          <w:b/>
          <w:szCs w:val="22"/>
        </w:rPr>
        <w:t>.GWA</w:t>
      </w:r>
    </w:p>
    <w:p w:rsidR="00FA652D" w:rsidRDefault="00E161FF" w:rsidP="00995053">
      <w:pPr>
        <w:tabs>
          <w:tab w:val="left" w:pos="4320"/>
        </w:tabs>
        <w:jc w:val="both"/>
        <w:rPr>
          <w:rFonts w:cs="Calibri"/>
          <w:b/>
          <w:szCs w:val="22"/>
        </w:rPr>
      </w:pPr>
      <w:r w:rsidRPr="00356DC6">
        <w:rPr>
          <w:rFonts w:cs="Calibri"/>
          <w:b/>
          <w:szCs w:val="22"/>
        </w:rPr>
        <w:t xml:space="preserve">COP-13/31101/ </w:t>
      </w:r>
      <w:r w:rsidR="00F478DB">
        <w:rPr>
          <w:rFonts w:cs="Calibri"/>
          <w:b/>
          <w:szCs w:val="22"/>
        </w:rPr>
        <w:t>5143</w:t>
      </w:r>
      <w:r w:rsidRPr="00356DC6">
        <w:rPr>
          <w:rFonts w:cs="Calibri"/>
          <w:b/>
          <w:szCs w:val="22"/>
        </w:rPr>
        <w:t xml:space="preserve"> /GW/2</w:t>
      </w:r>
      <w:r w:rsidR="00555166" w:rsidRPr="00356DC6">
        <w:rPr>
          <w:rFonts w:cs="Calibri"/>
          <w:b/>
          <w:szCs w:val="22"/>
        </w:rPr>
        <w:t>2</w:t>
      </w:r>
    </w:p>
    <w:p w:rsidR="000513A8" w:rsidRDefault="000513A8" w:rsidP="005F5F89">
      <w:pPr>
        <w:tabs>
          <w:tab w:val="left" w:pos="4320"/>
        </w:tabs>
        <w:ind w:left="5670"/>
        <w:jc w:val="both"/>
        <w:rPr>
          <w:rFonts w:cs="Calibri"/>
          <w:szCs w:val="22"/>
        </w:rPr>
      </w:pPr>
      <w:r>
        <w:rPr>
          <w:rFonts w:cs="Calibri"/>
          <w:szCs w:val="22"/>
        </w:rPr>
        <w:t>Spółka M.</w:t>
      </w:r>
    </w:p>
    <w:p w:rsidR="000513A8" w:rsidRDefault="000513A8" w:rsidP="005F5F89">
      <w:pPr>
        <w:tabs>
          <w:tab w:val="left" w:pos="4320"/>
        </w:tabs>
        <w:ind w:left="5670"/>
        <w:jc w:val="both"/>
        <w:rPr>
          <w:rFonts w:cs="Calibri"/>
          <w:szCs w:val="22"/>
        </w:rPr>
      </w:pPr>
      <w:r>
        <w:rPr>
          <w:rFonts w:cs="Calibri"/>
          <w:szCs w:val="22"/>
        </w:rPr>
        <w:t>ul. (…)</w:t>
      </w:r>
    </w:p>
    <w:p w:rsidR="000513A8" w:rsidRPr="000513A8" w:rsidRDefault="000513A8" w:rsidP="005F5F89">
      <w:pPr>
        <w:tabs>
          <w:tab w:val="left" w:pos="4320"/>
        </w:tabs>
        <w:ind w:left="5670"/>
        <w:jc w:val="both"/>
        <w:rPr>
          <w:rFonts w:cs="Calibri"/>
          <w:szCs w:val="22"/>
        </w:rPr>
      </w:pPr>
      <w:r>
        <w:rPr>
          <w:rFonts w:cs="Calibri"/>
          <w:szCs w:val="22"/>
        </w:rPr>
        <w:t>NIP (…)</w:t>
      </w:r>
    </w:p>
    <w:p w:rsidR="00384140" w:rsidRPr="00F2470C" w:rsidRDefault="00384140" w:rsidP="00384140">
      <w:pPr>
        <w:rPr>
          <w:rFonts w:cs="Calibri"/>
          <w:szCs w:val="22"/>
        </w:rPr>
      </w:pPr>
      <w:r w:rsidRPr="00384140">
        <w:rPr>
          <w:rFonts w:cs="Calibri"/>
          <w:szCs w:val="22"/>
        </w:rPr>
        <w:t xml:space="preserve">Działając na podstawie </w:t>
      </w:r>
      <w:r>
        <w:rPr>
          <w:rFonts w:cs="Calibri"/>
          <w:szCs w:val="22"/>
        </w:rPr>
        <w:t>a</w:t>
      </w:r>
      <w:r w:rsidRPr="00F2470C">
        <w:rPr>
          <w:rFonts w:cs="Calibri"/>
          <w:szCs w:val="22"/>
        </w:rPr>
        <w:t>rt. 14j § 1 ustawy z dnia 29 sierpnia 1997 r. - Ordynacja podatkowa (Dz.</w:t>
      </w:r>
      <w:r w:rsidR="00050247">
        <w:rPr>
          <w:rFonts w:cs="Calibri"/>
          <w:szCs w:val="22"/>
        </w:rPr>
        <w:t> </w:t>
      </w:r>
      <w:r w:rsidRPr="00F2470C">
        <w:rPr>
          <w:rFonts w:cs="Calibri"/>
          <w:szCs w:val="22"/>
        </w:rPr>
        <w:t>U.</w:t>
      </w:r>
      <w:r w:rsidR="00050247">
        <w:rPr>
          <w:rFonts w:cs="Calibri"/>
          <w:szCs w:val="22"/>
        </w:rPr>
        <w:t> </w:t>
      </w:r>
      <w:r w:rsidRPr="00F2470C">
        <w:rPr>
          <w:rFonts w:cs="Calibri"/>
          <w:szCs w:val="22"/>
        </w:rPr>
        <w:t>z</w:t>
      </w:r>
      <w:r w:rsidR="00050247">
        <w:rPr>
          <w:rFonts w:cs="Calibri"/>
          <w:szCs w:val="22"/>
        </w:rPr>
        <w:t> </w:t>
      </w:r>
      <w:r w:rsidRPr="00F2470C">
        <w:rPr>
          <w:rFonts w:cs="Calibri"/>
          <w:szCs w:val="22"/>
        </w:rPr>
        <w:t>20</w:t>
      </w:r>
      <w:r>
        <w:rPr>
          <w:rFonts w:cs="Calibri"/>
          <w:szCs w:val="22"/>
        </w:rPr>
        <w:t>21</w:t>
      </w:r>
      <w:r w:rsidRPr="00F2470C">
        <w:rPr>
          <w:rFonts w:cs="Calibri"/>
          <w:szCs w:val="22"/>
        </w:rPr>
        <w:t xml:space="preserve"> r. poz. </w:t>
      </w:r>
      <w:r>
        <w:rPr>
          <w:rFonts w:cs="Calibri"/>
          <w:szCs w:val="22"/>
        </w:rPr>
        <w:t>1540</w:t>
      </w:r>
      <w:r w:rsidR="00140E6D">
        <w:rPr>
          <w:rFonts w:cs="Calibri"/>
          <w:szCs w:val="22"/>
        </w:rPr>
        <w:t xml:space="preserve">, z </w:t>
      </w:r>
      <w:proofErr w:type="spellStart"/>
      <w:r w:rsidR="00140E6D">
        <w:rPr>
          <w:rFonts w:cs="Calibri"/>
          <w:szCs w:val="22"/>
        </w:rPr>
        <w:t>późn</w:t>
      </w:r>
      <w:proofErr w:type="spellEnd"/>
      <w:r w:rsidR="00140E6D">
        <w:rPr>
          <w:rFonts w:cs="Calibri"/>
          <w:szCs w:val="22"/>
        </w:rPr>
        <w:t>.</w:t>
      </w:r>
      <w:r w:rsidR="00555166">
        <w:rPr>
          <w:rFonts w:cs="Calibri"/>
          <w:szCs w:val="22"/>
        </w:rPr>
        <w:t xml:space="preserve"> zm.</w:t>
      </w:r>
      <w:r w:rsidR="00140E6D">
        <w:rPr>
          <w:rFonts w:cs="Calibri"/>
          <w:szCs w:val="22"/>
        </w:rPr>
        <w:t>),</w:t>
      </w:r>
    </w:p>
    <w:p w:rsidR="00384140" w:rsidRDefault="00384140" w:rsidP="00050247">
      <w:pPr>
        <w:pStyle w:val="Tekstpodstawowy"/>
        <w:jc w:val="left"/>
        <w:rPr>
          <w:rFonts w:cs="Calibri"/>
          <w:b/>
          <w:szCs w:val="22"/>
        </w:rPr>
      </w:pPr>
      <w:r w:rsidRPr="00534E89">
        <w:rPr>
          <w:rFonts w:cs="Calibri"/>
          <w:b/>
          <w:szCs w:val="22"/>
        </w:rPr>
        <w:t xml:space="preserve">po </w:t>
      </w:r>
      <w:r w:rsidR="00204FDB">
        <w:rPr>
          <w:rFonts w:cs="Calibri"/>
          <w:b/>
          <w:szCs w:val="22"/>
        </w:rPr>
        <w:t xml:space="preserve">ponownym </w:t>
      </w:r>
      <w:r w:rsidR="00CE0267">
        <w:rPr>
          <w:rFonts w:cs="Calibri"/>
          <w:b/>
          <w:szCs w:val="22"/>
        </w:rPr>
        <w:t>rozpatrzeniu</w:t>
      </w:r>
    </w:p>
    <w:p w:rsidR="00204FDB" w:rsidRDefault="00204FDB" w:rsidP="00204FDB">
      <w:pPr>
        <w:rPr>
          <w:rFonts w:cs="Calibri"/>
          <w:szCs w:val="22"/>
        </w:rPr>
      </w:pPr>
      <w:r w:rsidRPr="00F2470C">
        <w:rPr>
          <w:rFonts w:cs="Calibri"/>
          <w:szCs w:val="22"/>
        </w:rPr>
        <w:t xml:space="preserve">wniosku </w:t>
      </w:r>
      <w:r w:rsidR="00B33782">
        <w:rPr>
          <w:rFonts w:cs="Calibri"/>
          <w:szCs w:val="22"/>
        </w:rPr>
        <w:t>Spółki M. z siedzibą w (…) (dalej jako „Wnioskodawca”)</w:t>
      </w:r>
      <w:r w:rsidRPr="00F2470C">
        <w:rPr>
          <w:rFonts w:cs="Calibri"/>
          <w:szCs w:val="22"/>
        </w:rPr>
        <w:t xml:space="preserve">z dnia </w:t>
      </w:r>
      <w:r>
        <w:rPr>
          <w:rFonts w:cs="Calibri"/>
          <w:szCs w:val="22"/>
        </w:rPr>
        <w:t xml:space="preserve">20 lutego </w:t>
      </w:r>
      <w:r w:rsidRPr="00F2470C">
        <w:rPr>
          <w:rFonts w:cs="Calibri"/>
          <w:szCs w:val="22"/>
        </w:rPr>
        <w:t>20</w:t>
      </w:r>
      <w:r>
        <w:rPr>
          <w:rFonts w:cs="Calibri"/>
          <w:szCs w:val="22"/>
        </w:rPr>
        <w:t>20</w:t>
      </w:r>
      <w:r w:rsidRPr="00F2470C">
        <w:rPr>
          <w:rFonts w:cs="Calibri"/>
          <w:szCs w:val="22"/>
        </w:rPr>
        <w:t xml:space="preserve"> r. w sprawie udzielenia indywidualnej interpretacji przepisów prawa podatkowego </w:t>
      </w:r>
      <w:r>
        <w:rPr>
          <w:rFonts w:cs="Calibri"/>
          <w:szCs w:val="22"/>
        </w:rPr>
        <w:t xml:space="preserve">w części dotyczącej pytania nr 2 - </w:t>
      </w:r>
      <w:r w:rsidRPr="00050247">
        <w:rPr>
          <w:rFonts w:cs="Calibri"/>
          <w:szCs w:val="22"/>
        </w:rPr>
        <w:t>„Czy Panele fotowoltaiczne będące głównym</w:t>
      </w:r>
      <w:bookmarkStart w:id="0" w:name="_GoBack"/>
      <w:bookmarkEnd w:id="0"/>
      <w:r w:rsidRPr="00050247">
        <w:rPr>
          <w:rFonts w:cs="Calibri"/>
          <w:szCs w:val="22"/>
        </w:rPr>
        <w:t xml:space="preserve"> źródłem zasilania obiektów na których są montowan</w:t>
      </w:r>
      <w:r w:rsidR="00140E6D" w:rsidRPr="00050247">
        <w:rPr>
          <w:rFonts w:cs="Calibri"/>
          <w:szCs w:val="22"/>
        </w:rPr>
        <w:t xml:space="preserve">e (Wariant 2) stanowią budowle </w:t>
      </w:r>
      <w:r w:rsidRPr="00050247">
        <w:rPr>
          <w:rFonts w:cs="Calibri"/>
          <w:szCs w:val="22"/>
        </w:rPr>
        <w:t xml:space="preserve">w rozumieniu art. 1a ust. 1 pkt 2 </w:t>
      </w:r>
      <w:proofErr w:type="spellStart"/>
      <w:r w:rsidRPr="00050247">
        <w:rPr>
          <w:rFonts w:cs="Calibri"/>
          <w:szCs w:val="22"/>
        </w:rPr>
        <w:t>upol</w:t>
      </w:r>
      <w:proofErr w:type="spellEnd"/>
      <w:r w:rsidRPr="00050247">
        <w:rPr>
          <w:rFonts w:cs="Calibri"/>
          <w:szCs w:val="22"/>
        </w:rPr>
        <w:t xml:space="preserve"> podlegającą opodatkowaniu podatkiem od nieruchomości?”</w:t>
      </w:r>
    </w:p>
    <w:p w:rsidR="00534E89" w:rsidRPr="00534E89" w:rsidRDefault="00CE0267" w:rsidP="00050247">
      <w:pPr>
        <w:pStyle w:val="Tekstpodstawowy"/>
        <w:jc w:val="left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postanawiam</w:t>
      </w:r>
    </w:p>
    <w:p w:rsidR="00534E89" w:rsidRPr="00534E89" w:rsidRDefault="00534E89" w:rsidP="00CE0267">
      <w:r w:rsidRPr="00534E89">
        <w:t>uzna</w:t>
      </w:r>
      <w:r>
        <w:t>ć</w:t>
      </w:r>
      <w:r w:rsidRPr="00534E89">
        <w:t xml:space="preserve"> stanowisk</w:t>
      </w:r>
      <w:r w:rsidR="007C1631">
        <w:t>o</w:t>
      </w:r>
      <w:r>
        <w:t xml:space="preserve"> przedstawione we wniosku o udzielenie indywidualnej interpretacji podatkowej </w:t>
      </w:r>
      <w:r w:rsidR="00E95BD7">
        <w:t>za</w:t>
      </w:r>
      <w:r w:rsidR="00050247">
        <w:t> </w:t>
      </w:r>
      <w:r w:rsidR="00E95BD7">
        <w:t>prawidłowe w obowiązującym stanie prawnym.</w:t>
      </w:r>
    </w:p>
    <w:p w:rsidR="00017F2C" w:rsidRDefault="00077D21" w:rsidP="00050247">
      <w:pPr>
        <w:pStyle w:val="Nagwek1"/>
        <w:rPr>
          <w:b w:val="0"/>
        </w:rPr>
      </w:pPr>
      <w:r>
        <w:t>S</w:t>
      </w:r>
      <w:r w:rsidR="00017F2C" w:rsidRPr="00D235D9">
        <w:t>tan faktyczny</w:t>
      </w:r>
      <w:r w:rsidR="00D12215">
        <w:t xml:space="preserve"> / zdarzenie przyszłe przedstawione we wniosku </w:t>
      </w:r>
    </w:p>
    <w:p w:rsidR="008E3256" w:rsidRDefault="008E3256" w:rsidP="008E3256">
      <w:pPr>
        <w:rPr>
          <w:rFonts w:cs="Calibri"/>
          <w:szCs w:val="22"/>
        </w:rPr>
      </w:pPr>
      <w:r w:rsidRPr="00F2470C">
        <w:rPr>
          <w:rFonts w:cs="Calibri"/>
          <w:szCs w:val="22"/>
        </w:rPr>
        <w:t>Z treści przedłożonego wniosku o udzielenie indywidualne</w:t>
      </w:r>
      <w:r>
        <w:rPr>
          <w:rFonts w:cs="Calibri"/>
          <w:szCs w:val="22"/>
        </w:rPr>
        <w:t xml:space="preserve">j interpretacji przepisów prawa podatkowego </w:t>
      </w:r>
      <w:r w:rsidRPr="00F2470C">
        <w:rPr>
          <w:rFonts w:cs="Calibri"/>
          <w:szCs w:val="22"/>
        </w:rPr>
        <w:t xml:space="preserve">w zakresie podatku od nieruchomości </w:t>
      </w:r>
      <w:r>
        <w:rPr>
          <w:rFonts w:cs="Calibri"/>
          <w:szCs w:val="22"/>
        </w:rPr>
        <w:t xml:space="preserve">(dalej jako „wniosek”) </w:t>
      </w:r>
      <w:r w:rsidRPr="00F2470C">
        <w:rPr>
          <w:rFonts w:cs="Calibri"/>
          <w:szCs w:val="22"/>
        </w:rPr>
        <w:t xml:space="preserve">wynika, iż Wnioskodawca </w:t>
      </w:r>
      <w:r>
        <w:rPr>
          <w:rFonts w:cs="Calibri"/>
          <w:szCs w:val="22"/>
        </w:rPr>
        <w:t xml:space="preserve">nabywa panele fotowoltaiczne, które następnie instalowane są na budynkach. W ramach prowadzonej przez Wnioskodawcę działalności gospodarczej, w/w panele </w:t>
      </w:r>
      <w:r w:rsidRPr="007761D2">
        <w:rPr>
          <w:rFonts w:cs="Calibri"/>
          <w:szCs w:val="22"/>
        </w:rPr>
        <w:t>fotowoltaiczne</w:t>
      </w:r>
      <w:r>
        <w:rPr>
          <w:rFonts w:cs="Calibri"/>
          <w:szCs w:val="22"/>
        </w:rPr>
        <w:t xml:space="preserve"> udostępniane są na rzecz klientów Wnioskodawcy na podstawie umów leasingu, umów najmu, umów dzierżawy bądź umów podobnych. Typowe panele </w:t>
      </w:r>
      <w:r w:rsidRPr="007761D2">
        <w:rPr>
          <w:rFonts w:cs="Calibri"/>
          <w:szCs w:val="22"/>
        </w:rPr>
        <w:t>fotowoltaiczne</w:t>
      </w:r>
      <w:r>
        <w:rPr>
          <w:rFonts w:cs="Calibri"/>
          <w:szCs w:val="22"/>
        </w:rPr>
        <w:t xml:space="preserve"> zbudowane są z ramy, na której oparta jest szyba szklana będąca zabezpieczeniem ogniw fotowoltaicznych. W skład paneli fotowoltaicznych wchodzą również inne elementy niezbędne do jej właściwego użytkowania (np. </w:t>
      </w:r>
      <w:r>
        <w:rPr>
          <w:rFonts w:cs="Calibri"/>
          <w:szCs w:val="22"/>
        </w:rPr>
        <w:lastRenderedPageBreak/>
        <w:t xml:space="preserve">puszka przyłączeniowa). Energia wytwarzana przez panele </w:t>
      </w:r>
      <w:r w:rsidRPr="007761D2">
        <w:rPr>
          <w:rFonts w:cs="Calibri"/>
          <w:szCs w:val="22"/>
        </w:rPr>
        <w:t>fotowoltaiczne</w:t>
      </w:r>
      <w:r>
        <w:rPr>
          <w:rFonts w:cs="Calibri"/>
          <w:szCs w:val="22"/>
        </w:rPr>
        <w:t xml:space="preserve"> należy do kategorii energii wytwarzanej z odnawialnych źródeł. Przedmiotowe panele </w:t>
      </w:r>
      <w:r w:rsidRPr="007761D2">
        <w:rPr>
          <w:rFonts w:cs="Calibri"/>
          <w:szCs w:val="22"/>
        </w:rPr>
        <w:t>fotowoltaiczne</w:t>
      </w:r>
      <w:r>
        <w:rPr>
          <w:rFonts w:cs="Calibri"/>
          <w:szCs w:val="22"/>
        </w:rPr>
        <w:t xml:space="preserve"> są mocowane na budynkach np. za pomocą specjalnego systemu kotew. Sposób przytwierdzania umożliwia w razie potrzeby wymontowanie paneli fotowoltaicznych, jak również ich wymianę na inne urządzenia prądotwórcze, nie powodując przy tym uszczerbku dla konstrukcji budynku na którym są zamontowane. Panele </w:t>
      </w:r>
      <w:r w:rsidRPr="007761D2">
        <w:rPr>
          <w:rFonts w:cs="Calibri"/>
          <w:szCs w:val="22"/>
        </w:rPr>
        <w:t>fotowoltaiczne</w:t>
      </w:r>
      <w:r>
        <w:rPr>
          <w:rFonts w:cs="Calibri"/>
          <w:szCs w:val="22"/>
        </w:rPr>
        <w:t xml:space="preserve"> będące przedmiotem wniosku, zgodnie z warunkami na których są udostępniane przez Spółkę dla klientów, powinny być użytkowane na ich własne potrzeby, dla ich własnego użytku. Zależnie od kategorii obiektów, na których panele </w:t>
      </w:r>
      <w:r w:rsidRPr="007761D2">
        <w:rPr>
          <w:rFonts w:cs="Calibri"/>
          <w:szCs w:val="22"/>
        </w:rPr>
        <w:t>fotowoltaiczne</w:t>
      </w:r>
      <w:r>
        <w:rPr>
          <w:rFonts w:cs="Calibri"/>
          <w:szCs w:val="22"/>
        </w:rPr>
        <w:t xml:space="preserve"> są montowane, lokalizacji takich obiektów, zastosowanej technologii oraz uwarunkowań klimatycznych, przedmiotowe panele </w:t>
      </w:r>
      <w:r w:rsidRPr="007761D2">
        <w:rPr>
          <w:rFonts w:cs="Calibri"/>
          <w:szCs w:val="22"/>
        </w:rPr>
        <w:t>fotowoltaiczne</w:t>
      </w:r>
      <w:r>
        <w:rPr>
          <w:rFonts w:cs="Calibri"/>
          <w:szCs w:val="22"/>
        </w:rPr>
        <w:t xml:space="preserve"> mogą s</w:t>
      </w:r>
      <w:r w:rsidR="005F5F89">
        <w:rPr>
          <w:rFonts w:cs="Calibri"/>
          <w:szCs w:val="22"/>
        </w:rPr>
        <w:t>tanowić:</w:t>
      </w:r>
    </w:p>
    <w:p w:rsidR="008E3256" w:rsidRPr="00050247" w:rsidRDefault="008E3256" w:rsidP="00050247">
      <w:pPr>
        <w:pStyle w:val="Akapitzlist"/>
        <w:numPr>
          <w:ilvl w:val="0"/>
          <w:numId w:val="17"/>
        </w:numPr>
        <w:rPr>
          <w:rFonts w:cs="Calibri"/>
          <w:szCs w:val="22"/>
        </w:rPr>
      </w:pPr>
      <w:r w:rsidRPr="00050247">
        <w:rPr>
          <w:rFonts w:cs="Calibri"/>
          <w:szCs w:val="22"/>
        </w:rPr>
        <w:t>uzupełniające źródło energii dla obiektów, na kt</w:t>
      </w:r>
      <w:r w:rsidR="005F5F89">
        <w:rPr>
          <w:rFonts w:cs="Calibri"/>
          <w:szCs w:val="22"/>
        </w:rPr>
        <w:t>órych są montowane (wariant 1);</w:t>
      </w:r>
    </w:p>
    <w:p w:rsidR="008E3256" w:rsidRPr="00050247" w:rsidRDefault="008E3256" w:rsidP="00050247">
      <w:pPr>
        <w:pStyle w:val="Akapitzlist"/>
        <w:numPr>
          <w:ilvl w:val="0"/>
          <w:numId w:val="17"/>
        </w:numPr>
        <w:rPr>
          <w:rFonts w:cs="Calibri"/>
          <w:szCs w:val="22"/>
        </w:rPr>
      </w:pPr>
      <w:r w:rsidRPr="00050247">
        <w:rPr>
          <w:rFonts w:cs="Calibri"/>
          <w:szCs w:val="22"/>
        </w:rPr>
        <w:t xml:space="preserve">główne źródło energii dla obiektów, na których są montowane (wariant 2). </w:t>
      </w:r>
    </w:p>
    <w:p w:rsidR="008E3256" w:rsidRDefault="008E3256" w:rsidP="008E3256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W przypadku sytuacji opisanej w wariancie 1 (to jest, gdy panele </w:t>
      </w:r>
      <w:r w:rsidRPr="007761D2">
        <w:rPr>
          <w:rFonts w:cs="Calibri"/>
          <w:szCs w:val="22"/>
        </w:rPr>
        <w:t>fotowoltaiczne</w:t>
      </w:r>
      <w:r>
        <w:rPr>
          <w:rFonts w:cs="Calibri"/>
          <w:szCs w:val="22"/>
        </w:rPr>
        <w:t xml:space="preserve"> stanowią uzupełniające źródło energii), panele </w:t>
      </w:r>
      <w:r w:rsidRPr="007761D2">
        <w:rPr>
          <w:rFonts w:cs="Calibri"/>
          <w:szCs w:val="22"/>
        </w:rPr>
        <w:t>fotowoltaiczne</w:t>
      </w:r>
      <w:r>
        <w:rPr>
          <w:rFonts w:cs="Calibri"/>
          <w:szCs w:val="22"/>
        </w:rPr>
        <w:t xml:space="preserve"> w żaden sposób nie warunkują użytkowania obiektu na którym są zamontowane, zgodnie z jego przeznaczeniem, albowiem obiekty te posiadają inn</w:t>
      </w:r>
      <w:r w:rsidR="00EC3DA9">
        <w:rPr>
          <w:rFonts w:cs="Calibri"/>
          <w:szCs w:val="22"/>
        </w:rPr>
        <w:t>e, niezależne źródła zasilania.</w:t>
      </w:r>
    </w:p>
    <w:p w:rsidR="008E3256" w:rsidRDefault="008E3256" w:rsidP="008E3256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Natomiast w wariancie 2 (to jest, gdy panele </w:t>
      </w:r>
      <w:r w:rsidRPr="007761D2">
        <w:rPr>
          <w:rFonts w:cs="Calibri"/>
          <w:szCs w:val="22"/>
        </w:rPr>
        <w:t>fotowoltaiczne</w:t>
      </w:r>
      <w:r>
        <w:rPr>
          <w:rFonts w:cs="Calibri"/>
          <w:szCs w:val="22"/>
        </w:rPr>
        <w:t xml:space="preserve"> stanowią główne źródło zasilania), panele </w:t>
      </w:r>
      <w:r w:rsidRPr="007761D2">
        <w:rPr>
          <w:rFonts w:cs="Calibri"/>
          <w:szCs w:val="22"/>
        </w:rPr>
        <w:t>fotowoltaiczne</w:t>
      </w:r>
      <w:r>
        <w:rPr>
          <w:rFonts w:cs="Calibri"/>
          <w:szCs w:val="22"/>
        </w:rPr>
        <w:t xml:space="preserve"> – z uwagi na konieczność zapewnienia ciągłości i niezależności dostaw energii – posiadają użyteczność polegającą na magazynowaniu energii. </w:t>
      </w:r>
    </w:p>
    <w:p w:rsidR="008E3256" w:rsidRDefault="008E3256" w:rsidP="008E3256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W związku z tak opisanym stanem faktycznym/zdarzeniem przyszłym, Wnioskodawca sformułował następujące pytania: </w:t>
      </w:r>
    </w:p>
    <w:p w:rsidR="008E3256" w:rsidRPr="00050247" w:rsidRDefault="008E3256" w:rsidP="00050247">
      <w:pPr>
        <w:pStyle w:val="Akapitzlist"/>
        <w:numPr>
          <w:ilvl w:val="0"/>
          <w:numId w:val="19"/>
        </w:numPr>
        <w:rPr>
          <w:rFonts w:cs="Calibri"/>
          <w:szCs w:val="22"/>
        </w:rPr>
      </w:pPr>
      <w:r w:rsidRPr="00050247">
        <w:rPr>
          <w:rFonts w:cs="Calibri"/>
          <w:szCs w:val="22"/>
        </w:rPr>
        <w:t xml:space="preserve">w przypadku wariantu 1 – „Czy Panele fotowoltaiczne będące uzupełaniającym źródłem zasilania obiektów na których są montowane (Wariant 1) stanowią budowle w rozumieniu art. 1a ust. 1 pkt 2 </w:t>
      </w:r>
      <w:proofErr w:type="spellStart"/>
      <w:r w:rsidRPr="00050247">
        <w:rPr>
          <w:rFonts w:cs="Calibri"/>
          <w:szCs w:val="22"/>
        </w:rPr>
        <w:t>upol</w:t>
      </w:r>
      <w:proofErr w:type="spellEnd"/>
      <w:r w:rsidRPr="00050247">
        <w:rPr>
          <w:rFonts w:cs="Calibri"/>
          <w:szCs w:val="22"/>
        </w:rPr>
        <w:t xml:space="preserve"> podlegającą opodatkowaniu podatkiem od nieruchomości?”;</w:t>
      </w:r>
    </w:p>
    <w:p w:rsidR="00204FDB" w:rsidRPr="00050247" w:rsidRDefault="008E3256" w:rsidP="00050247">
      <w:pPr>
        <w:pStyle w:val="Akapitzlist"/>
        <w:numPr>
          <w:ilvl w:val="0"/>
          <w:numId w:val="19"/>
        </w:numPr>
        <w:rPr>
          <w:rFonts w:cs="Calibri"/>
          <w:szCs w:val="22"/>
        </w:rPr>
      </w:pPr>
      <w:r w:rsidRPr="00050247">
        <w:rPr>
          <w:rFonts w:cs="Calibri"/>
          <w:szCs w:val="22"/>
        </w:rPr>
        <w:t xml:space="preserve">w przypadku wariantu 2 – „Czy Panele fotowoltaiczne będące głównym źródłem zasilania obiektów na których są montowane (Wariant 2) stanowią budowle w rozumieniu art. 1a ust. 1 pkt 2 </w:t>
      </w:r>
      <w:proofErr w:type="spellStart"/>
      <w:r w:rsidRPr="00050247">
        <w:rPr>
          <w:rFonts w:cs="Calibri"/>
          <w:szCs w:val="22"/>
        </w:rPr>
        <w:t>upol</w:t>
      </w:r>
      <w:proofErr w:type="spellEnd"/>
      <w:r w:rsidRPr="00050247">
        <w:rPr>
          <w:rFonts w:cs="Calibri"/>
          <w:szCs w:val="22"/>
        </w:rPr>
        <w:t xml:space="preserve"> podlegającą opodatkowaniu podatkiem od nieruchomości?”.</w:t>
      </w:r>
    </w:p>
    <w:p w:rsidR="00D12215" w:rsidRPr="00CA7AC1" w:rsidRDefault="00077D21" w:rsidP="00050247">
      <w:pPr>
        <w:pStyle w:val="Nagwek1"/>
        <w:rPr>
          <w:lang w:bidi="pl-PL"/>
        </w:rPr>
      </w:pPr>
      <w:r w:rsidRPr="00CA7AC1">
        <w:rPr>
          <w:lang w:bidi="pl-PL"/>
        </w:rPr>
        <w:t>S</w:t>
      </w:r>
      <w:r w:rsidR="00D12215" w:rsidRPr="00CA7AC1">
        <w:rPr>
          <w:lang w:bidi="pl-PL"/>
        </w:rPr>
        <w:t>tanowisko Wnioskodawcy w sprawie</w:t>
      </w:r>
    </w:p>
    <w:p w:rsidR="008E3256" w:rsidRDefault="008E3256" w:rsidP="008E3256">
      <w:pPr>
        <w:rPr>
          <w:rFonts w:cs="Calibri"/>
          <w:szCs w:val="22"/>
        </w:rPr>
      </w:pPr>
      <w:r w:rsidRPr="00F2470C">
        <w:rPr>
          <w:rFonts w:cs="Calibri"/>
          <w:szCs w:val="22"/>
        </w:rPr>
        <w:t>Zdaniem Wnioskodawcy</w:t>
      </w:r>
      <w:r>
        <w:rPr>
          <w:rFonts w:cs="Calibri"/>
          <w:szCs w:val="22"/>
        </w:rPr>
        <w:t>:</w:t>
      </w:r>
    </w:p>
    <w:p w:rsidR="008E3256" w:rsidRPr="00050247" w:rsidRDefault="008E3256" w:rsidP="00050247">
      <w:pPr>
        <w:pStyle w:val="Akapitzlist"/>
        <w:numPr>
          <w:ilvl w:val="0"/>
          <w:numId w:val="21"/>
        </w:numPr>
        <w:ind w:left="714" w:hanging="357"/>
        <w:rPr>
          <w:rFonts w:cs="Calibri"/>
          <w:szCs w:val="22"/>
        </w:rPr>
      </w:pPr>
      <w:r w:rsidRPr="00050247">
        <w:rPr>
          <w:rFonts w:cs="Calibri"/>
          <w:szCs w:val="22"/>
        </w:rPr>
        <w:t xml:space="preserve">„Panele fotowoltaiczne będące uzupełniającym źródłem zasilania obiektów na których są montowane (Wariant 1), nie stanowią budowli w rozumieniu art. 1a ust. 1 pkt 2 </w:t>
      </w:r>
      <w:proofErr w:type="spellStart"/>
      <w:r w:rsidRPr="00050247">
        <w:rPr>
          <w:rFonts w:cs="Calibri"/>
          <w:szCs w:val="22"/>
        </w:rPr>
        <w:t>upol</w:t>
      </w:r>
      <w:proofErr w:type="spellEnd"/>
      <w:r w:rsidRPr="00050247">
        <w:rPr>
          <w:rFonts w:cs="Calibri"/>
          <w:szCs w:val="22"/>
        </w:rPr>
        <w:t xml:space="preserve"> podlegającej opodatkowaniu podatkiem od nieruchomości</w:t>
      </w:r>
      <w:r w:rsidR="00050247">
        <w:rPr>
          <w:rFonts w:cs="Calibri"/>
          <w:szCs w:val="22"/>
        </w:rPr>
        <w:t>”</w:t>
      </w:r>
      <w:r w:rsidRPr="00050247">
        <w:rPr>
          <w:rFonts w:cs="Calibri"/>
          <w:szCs w:val="22"/>
        </w:rPr>
        <w:t>.</w:t>
      </w:r>
    </w:p>
    <w:p w:rsidR="00361280" w:rsidRPr="00050247" w:rsidRDefault="00050247" w:rsidP="00050247">
      <w:pPr>
        <w:pStyle w:val="Bezodstpw"/>
        <w:numPr>
          <w:ilvl w:val="0"/>
          <w:numId w:val="21"/>
        </w:numPr>
        <w:spacing w:after="240" w:line="300" w:lineRule="auto"/>
        <w:ind w:left="714" w:hanging="357"/>
        <w:jc w:val="left"/>
        <w:rPr>
          <w:rFonts w:ascii="Calibri" w:hAnsi="Calibri" w:cs="Calibri"/>
          <w:sz w:val="22"/>
          <w:szCs w:val="22"/>
          <w:lang w:bidi="pl-PL"/>
        </w:rPr>
      </w:pPr>
      <w:r>
        <w:rPr>
          <w:rFonts w:ascii="Calibri" w:hAnsi="Calibri" w:cs="Calibri"/>
          <w:sz w:val="22"/>
          <w:szCs w:val="22"/>
        </w:rPr>
        <w:lastRenderedPageBreak/>
        <w:t>„</w:t>
      </w:r>
      <w:r w:rsidR="008E3256" w:rsidRPr="00050247">
        <w:rPr>
          <w:rFonts w:ascii="Calibri" w:hAnsi="Calibri" w:cs="Calibri"/>
          <w:sz w:val="22"/>
          <w:szCs w:val="22"/>
        </w:rPr>
        <w:t xml:space="preserve">Panele fotowoltaiczne będące głównym źródłem zasilania obiektów na których są montowane (Wariant 2), nie stanowią budowli w rozumieniu art. 1a ust. 1 pkt 2 </w:t>
      </w:r>
      <w:proofErr w:type="spellStart"/>
      <w:r w:rsidR="008E3256" w:rsidRPr="00050247">
        <w:rPr>
          <w:rFonts w:ascii="Calibri" w:hAnsi="Calibri" w:cs="Calibri"/>
          <w:sz w:val="22"/>
          <w:szCs w:val="22"/>
        </w:rPr>
        <w:t>upol</w:t>
      </w:r>
      <w:proofErr w:type="spellEnd"/>
      <w:r w:rsidR="008E3256" w:rsidRPr="00050247">
        <w:rPr>
          <w:rFonts w:ascii="Calibri" w:hAnsi="Calibri" w:cs="Calibri"/>
          <w:sz w:val="22"/>
          <w:szCs w:val="22"/>
        </w:rPr>
        <w:t xml:space="preserve"> podlegającej opodatkowaniu podatkiem od nieruchomości”.</w:t>
      </w:r>
    </w:p>
    <w:p w:rsidR="00D12215" w:rsidRPr="00CA7AC1" w:rsidRDefault="001862FB" w:rsidP="00050247">
      <w:pPr>
        <w:pStyle w:val="Nagwek1"/>
      </w:pPr>
      <w:r>
        <w:t>Dotychczasowy przebieg sprawy i zakres interpretacji</w:t>
      </w:r>
    </w:p>
    <w:p w:rsidR="008E3256" w:rsidRDefault="001862FB" w:rsidP="00050247">
      <w:pPr>
        <w:spacing w:before="360"/>
      </w:pPr>
      <w:r>
        <w:t>N</w:t>
      </w:r>
      <w:r w:rsidR="008E3256">
        <w:t>iniejszy wniosek podlega ponownemu rozpatrzeniu.</w:t>
      </w:r>
    </w:p>
    <w:p w:rsidR="00FD0765" w:rsidRDefault="008E3256" w:rsidP="00050247">
      <w:r>
        <w:t>Po</w:t>
      </w:r>
      <w:r w:rsidR="00FD0765">
        <w:t xml:space="preserve"> pierwszym</w:t>
      </w:r>
      <w:r>
        <w:t xml:space="preserve"> rozpatrzeniu wniosku, organ podatkowy wydał w dniu 29 k</w:t>
      </w:r>
      <w:r w:rsidR="008D17F8">
        <w:t>wietnia 2020 roku interpretację</w:t>
      </w:r>
      <w:r>
        <w:t xml:space="preserve"> indywidualną nr COP-13.310.1.2020.GWA; COP-13/</w:t>
      </w:r>
      <w:r w:rsidR="00FD0765">
        <w:t>31101/611/GW/20, w której uznał</w:t>
      </w:r>
      <w:r>
        <w:t xml:space="preserve"> stanowisko Wnioskodawcy za prawidłowe w zakresie pytania nr 1 oraz za niepraw</w:t>
      </w:r>
      <w:r w:rsidR="00CE0267">
        <w:t>idłowe w zakresie pytania nr 2.</w:t>
      </w:r>
    </w:p>
    <w:p w:rsidR="00FD0765" w:rsidRDefault="008E3256" w:rsidP="00050247">
      <w:r>
        <w:t>Na powyższą interpretację Wnioskodawca złożył skargę do Wojewódzkiego Sądu</w:t>
      </w:r>
      <w:r w:rsidR="00FD0765">
        <w:t xml:space="preserve"> Administracyjnego w Warszawie</w:t>
      </w:r>
      <w:r w:rsidR="00CE0267">
        <w:t>.</w:t>
      </w:r>
    </w:p>
    <w:p w:rsidR="00FD0765" w:rsidRDefault="008E3256" w:rsidP="00050247">
      <w:r>
        <w:t>Wojewódzki Sąd Administracyjny w Warszawie wyrok</w:t>
      </w:r>
      <w:r w:rsidR="00FD0765">
        <w:t xml:space="preserve">iem z dnia 7 stycznia 2021 r., </w:t>
      </w:r>
      <w:r>
        <w:t>sygn. akt III SA/</w:t>
      </w:r>
      <w:proofErr w:type="spellStart"/>
      <w:r>
        <w:t>Wa</w:t>
      </w:r>
      <w:proofErr w:type="spellEnd"/>
      <w:r>
        <w:t xml:space="preserve"> 1334/20</w:t>
      </w:r>
      <w:r w:rsidR="00FD0765">
        <w:t>,</w:t>
      </w:r>
      <w:r>
        <w:t xml:space="preserve"> uchylił zask</w:t>
      </w:r>
      <w:r w:rsidR="00FD0765">
        <w:t>arż</w:t>
      </w:r>
      <w:r>
        <w:t>oną interpretację w części uznającej stanowisko Wnioskodawcy za</w:t>
      </w:r>
      <w:r w:rsidR="00050247">
        <w:t> </w:t>
      </w:r>
      <w:r w:rsidR="00CE0267">
        <w:t>nieprawidłowe.</w:t>
      </w:r>
    </w:p>
    <w:p w:rsidR="00FD0765" w:rsidRDefault="00FD0765" w:rsidP="00050247">
      <w:r>
        <w:t>Naczelny Sąd Administracyjny wyrokiem z dnia 16 listopada 2021 r., sygn. akt III FSK 4257/21, oddalił skargę kasacyjną złożoną</w:t>
      </w:r>
      <w:r w:rsidR="008E3256">
        <w:t xml:space="preserve"> przez Prezydenta m.st. Warszawy</w:t>
      </w:r>
      <w:r>
        <w:t>.</w:t>
      </w:r>
    </w:p>
    <w:p w:rsidR="00FD0765" w:rsidRDefault="00FD0765" w:rsidP="00050247">
      <w:r>
        <w:t>Akta przedmiotowej sprawy zostały zwrócone do organu podatkowego w dniu 1 kwietnia 2022 r. (data wpływu).</w:t>
      </w:r>
    </w:p>
    <w:p w:rsidR="00FD0765" w:rsidRDefault="00FD0765" w:rsidP="00050247">
      <w:r>
        <w:t>Wskutek oddalenia skargi kasacyjnej, prawomocny stał się wyrok Wojewódzkiego Sądu Administracyjnego w Warszawie z dnia 7 stycznia 2021 r., sygn. akt III SA/</w:t>
      </w:r>
      <w:proofErr w:type="spellStart"/>
      <w:r>
        <w:t>Wa</w:t>
      </w:r>
      <w:proofErr w:type="spellEnd"/>
      <w:r>
        <w:t xml:space="preserve"> 1334/20.</w:t>
      </w:r>
    </w:p>
    <w:p w:rsidR="00FD0765" w:rsidRDefault="00FD0765" w:rsidP="00050247">
      <w:r>
        <w:t xml:space="preserve">Z uwagi na to, że w/w wyrok uchylił zaskarżoną interpretację w części uznającej stanowisko Wnioskodawcy za nieprawidłowe, tj. w </w:t>
      </w:r>
      <w:r w:rsidR="006C1350">
        <w:t>części dot.</w:t>
      </w:r>
      <w:r>
        <w:t xml:space="preserve"> pytania nr 2, niniejsza interpretacja dotyczyć będzie</w:t>
      </w:r>
      <w:r w:rsidR="00E22B6A">
        <w:t xml:space="preserve"> tego właśnie zakresu</w:t>
      </w:r>
      <w:r w:rsidR="006C1350">
        <w:t>, tj. pytania nr 2.</w:t>
      </w:r>
    </w:p>
    <w:p w:rsidR="001862FB" w:rsidRPr="00050247" w:rsidRDefault="001862FB" w:rsidP="001862FB">
      <w:pPr>
        <w:rPr>
          <w:rFonts w:cs="Calibri"/>
          <w:szCs w:val="22"/>
        </w:rPr>
      </w:pPr>
      <w:r>
        <w:rPr>
          <w:rFonts w:cs="Calibri"/>
          <w:szCs w:val="22"/>
        </w:rPr>
        <w:t>Pytanie nr 2 brzmiało</w:t>
      </w:r>
      <w:r w:rsidRPr="00050247">
        <w:rPr>
          <w:rFonts w:cs="Calibri"/>
          <w:szCs w:val="22"/>
        </w:rPr>
        <w:t>: „Czy Panele fotowoltaiczne będące głównym źródłem zasilania obiektów na</w:t>
      </w:r>
      <w:r w:rsidR="00050247">
        <w:rPr>
          <w:rFonts w:cs="Calibri"/>
          <w:szCs w:val="22"/>
        </w:rPr>
        <w:t> </w:t>
      </w:r>
      <w:r w:rsidRPr="00050247">
        <w:rPr>
          <w:rFonts w:cs="Calibri"/>
          <w:szCs w:val="22"/>
        </w:rPr>
        <w:t xml:space="preserve"> których są montowane (Wariant 2) stanowią budowle w rozumieniu art. 1a ust. 1 pkt 2 </w:t>
      </w:r>
      <w:proofErr w:type="spellStart"/>
      <w:r w:rsidRPr="00050247">
        <w:rPr>
          <w:rFonts w:cs="Calibri"/>
          <w:szCs w:val="22"/>
        </w:rPr>
        <w:t>upol</w:t>
      </w:r>
      <w:proofErr w:type="spellEnd"/>
      <w:r w:rsidRPr="00050247">
        <w:rPr>
          <w:rFonts w:cs="Calibri"/>
          <w:szCs w:val="22"/>
        </w:rPr>
        <w:t xml:space="preserve"> podlegającą opodatkowaniu podatkiem od nieruchomości?”.</w:t>
      </w:r>
    </w:p>
    <w:p w:rsidR="008E3256" w:rsidRPr="00050247" w:rsidRDefault="001862FB" w:rsidP="001862FB">
      <w:pPr>
        <w:rPr>
          <w:rFonts w:cs="Calibri"/>
          <w:szCs w:val="22"/>
        </w:rPr>
      </w:pPr>
      <w:r w:rsidRPr="00F2470C">
        <w:rPr>
          <w:rFonts w:cs="Calibri"/>
          <w:szCs w:val="22"/>
        </w:rPr>
        <w:t>Zdaniem Wnioskodawcy</w:t>
      </w:r>
      <w:r>
        <w:rPr>
          <w:rFonts w:cs="Calibri"/>
          <w:szCs w:val="22"/>
        </w:rPr>
        <w:t xml:space="preserve">: </w:t>
      </w:r>
      <w:r w:rsidRPr="00050247">
        <w:rPr>
          <w:rFonts w:cs="Calibri"/>
          <w:szCs w:val="22"/>
        </w:rPr>
        <w:t xml:space="preserve">„Panele fotowoltaiczne będące głównym źródłem zasilania obiektów na których są montowane (Wariant 2), nie stanowią budowli w rozumieniu art. 1a ust. 1 pkt 2 </w:t>
      </w:r>
      <w:proofErr w:type="spellStart"/>
      <w:r w:rsidRPr="00050247">
        <w:rPr>
          <w:rFonts w:cs="Calibri"/>
          <w:szCs w:val="22"/>
        </w:rPr>
        <w:t>upol</w:t>
      </w:r>
      <w:proofErr w:type="spellEnd"/>
      <w:r w:rsidRPr="00050247">
        <w:rPr>
          <w:rFonts w:cs="Calibri"/>
          <w:szCs w:val="22"/>
        </w:rPr>
        <w:t xml:space="preserve"> podlegającej opodatkowaniu podatkiem od nieruchomości”.</w:t>
      </w:r>
    </w:p>
    <w:p w:rsidR="001862FB" w:rsidRPr="001862FB" w:rsidRDefault="001862FB" w:rsidP="00050247">
      <w:pPr>
        <w:pStyle w:val="Nagwek1"/>
      </w:pPr>
      <w:r>
        <w:lastRenderedPageBreak/>
        <w:t>Ocena</w:t>
      </w:r>
      <w:r w:rsidRPr="00CA7AC1">
        <w:t xml:space="preserve"> stanowiska Wnioskodawcy wraz z uzasadnieniem prawnym</w:t>
      </w:r>
    </w:p>
    <w:p w:rsidR="00170451" w:rsidRDefault="001862FB" w:rsidP="00050247">
      <w:r>
        <w:t>O</w:t>
      </w:r>
      <w:r w:rsidR="00170451" w:rsidRPr="00E85B45">
        <w:t>rgan wydając</w:t>
      </w:r>
      <w:r w:rsidR="00170451">
        <w:t>y interpretację indywidualną</w:t>
      </w:r>
      <w:r w:rsidR="00170451" w:rsidRPr="00E85B45">
        <w:t xml:space="preserve"> związany jest okolicznościami faktycznymi wynikającymi ze stanu faktycznego/zdarzenia przyszłego przedstawionego we wniosku</w:t>
      </w:r>
      <w:r w:rsidR="00170451">
        <w:t xml:space="preserve"> (w</w:t>
      </w:r>
      <w:r w:rsidR="00170451" w:rsidRPr="00E85B45">
        <w:t>yrok</w:t>
      </w:r>
      <w:r w:rsidR="00170451">
        <w:t xml:space="preserve"> </w:t>
      </w:r>
      <w:r w:rsidR="00170451" w:rsidRPr="00E85B45">
        <w:t>Wojewódzkiego Sądu Administracyjnego w Szczecinie</w:t>
      </w:r>
      <w:r w:rsidR="00170451">
        <w:t xml:space="preserve"> </w:t>
      </w:r>
      <w:r w:rsidR="00170451" w:rsidRPr="00E85B45">
        <w:t>z dnia 27 maja 2021 r.</w:t>
      </w:r>
      <w:r w:rsidR="00170451">
        <w:t xml:space="preserve">, sygn. akt </w:t>
      </w:r>
      <w:r w:rsidR="00170451" w:rsidRPr="00E85B45">
        <w:t>I SA/</w:t>
      </w:r>
      <w:proofErr w:type="spellStart"/>
      <w:r w:rsidR="00170451" w:rsidRPr="00E85B45">
        <w:t>Sz</w:t>
      </w:r>
      <w:proofErr w:type="spellEnd"/>
      <w:r w:rsidR="00170451" w:rsidRPr="00E85B45">
        <w:t xml:space="preserve"> 271/21</w:t>
      </w:r>
      <w:r w:rsidR="00170451">
        <w:t>, wyrok dostępny w Centralnej Bazie O</w:t>
      </w:r>
      <w:r>
        <w:t>rzeczeń Sądów Administracyjnych</w:t>
      </w:r>
      <w:r w:rsidR="00170451">
        <w:t>).</w:t>
      </w:r>
    </w:p>
    <w:p w:rsidR="00296F01" w:rsidRPr="00967990" w:rsidRDefault="00296F01" w:rsidP="00050247">
      <w:r w:rsidRPr="00967990">
        <w:t xml:space="preserve">Definicja budowli dla celów podatku od </w:t>
      </w:r>
      <w:r w:rsidR="000F5A2A" w:rsidRPr="00967990">
        <w:t xml:space="preserve">nieruchomości, </w:t>
      </w:r>
      <w:r w:rsidRPr="00967990">
        <w:t>nakreślona została w art. 1a ust. 1 pkt 2</w:t>
      </w:r>
      <w:r w:rsidR="000F5A2A" w:rsidRPr="00967990">
        <w:t xml:space="preserve"> ustawy z dnia 12 stycznia 1991 r. o podatkach i opłatach lokalnych (Dz. U. z 2019 r., poz. 1170</w:t>
      </w:r>
      <w:r w:rsidR="00731CC8">
        <w:t xml:space="preserve">, z </w:t>
      </w:r>
      <w:proofErr w:type="spellStart"/>
      <w:r w:rsidR="00731CC8">
        <w:t>późn</w:t>
      </w:r>
      <w:proofErr w:type="spellEnd"/>
      <w:r w:rsidR="00731CC8">
        <w:t>. zm.</w:t>
      </w:r>
      <w:r w:rsidR="000F5A2A" w:rsidRPr="00967990">
        <w:t>).</w:t>
      </w:r>
      <w:r w:rsidRPr="00967990">
        <w:t xml:space="preserve"> Z brzmienia tego przepisu wynika, że jest nią obiekt budowlany w rozumieniu przepisów prawa budowlanego niebędący budynkiem lub obiektem małej architektury, a także urządzenie budowlane w rozumieniu przepisów prawa budowlanego związane z obiektem budowlanym, które zapewnia możliwość użytkowania obiektu zgodnie z przeznaczeniem.</w:t>
      </w:r>
    </w:p>
    <w:p w:rsidR="00296F01" w:rsidRPr="00967990" w:rsidRDefault="00296F01" w:rsidP="00050247">
      <w:r w:rsidRPr="00967990">
        <w:t>Zgodnie z art. 3 pkt 1</w:t>
      </w:r>
      <w:r w:rsidR="000F5A2A" w:rsidRPr="00967990">
        <w:t xml:space="preserve"> ustawy z dnia 7 lipca 1994 roku – Pr</w:t>
      </w:r>
      <w:r w:rsidR="00731CC8">
        <w:t>awo budowlane (Dz. U. z 2021 r.</w:t>
      </w:r>
      <w:r w:rsidR="000F5A2A" w:rsidRPr="00967990">
        <w:t xml:space="preserve"> poz. 2351</w:t>
      </w:r>
      <w:r w:rsidR="00731CC8">
        <w:t xml:space="preserve">, z </w:t>
      </w:r>
      <w:proofErr w:type="spellStart"/>
      <w:r w:rsidR="00731CC8">
        <w:t>późn</w:t>
      </w:r>
      <w:proofErr w:type="spellEnd"/>
      <w:r w:rsidR="00731CC8">
        <w:t>. zm.; dalej jako</w:t>
      </w:r>
      <w:r w:rsidRPr="00967990">
        <w:t xml:space="preserve"> </w:t>
      </w:r>
      <w:proofErr w:type="spellStart"/>
      <w:r w:rsidR="000F5A2A" w:rsidRPr="00967990">
        <w:t>u.p</w:t>
      </w:r>
      <w:r w:rsidRPr="00967990">
        <w:t>.b</w:t>
      </w:r>
      <w:proofErr w:type="spellEnd"/>
      <w:r w:rsidRPr="00967990">
        <w:t>.</w:t>
      </w:r>
      <w:r w:rsidR="000F5A2A" w:rsidRPr="00967990">
        <w:t>),</w:t>
      </w:r>
      <w:r w:rsidRPr="00967990">
        <w:t xml:space="preserve"> przez obiekt budowlany należy rozumieć budynek, budowlę bądź obiekt małej architektury, wraz z instalacjami zapewniającymi możliwość użytkowania obiektu zgodnie z jego przeznaczeniem, wzniesiony z użyciem wyrobów budowlanych.</w:t>
      </w:r>
    </w:p>
    <w:p w:rsidR="00296F01" w:rsidRPr="00967990" w:rsidRDefault="00296F01" w:rsidP="00050247">
      <w:r w:rsidRPr="00967990">
        <w:t xml:space="preserve">Stosownie zaś do brzmienia art. 3 pkt 3 </w:t>
      </w:r>
      <w:proofErr w:type="spellStart"/>
      <w:r w:rsidRPr="00967990">
        <w:t>u.p.b</w:t>
      </w:r>
      <w:proofErr w:type="spellEnd"/>
      <w:r w:rsidRPr="00967990">
        <w:t xml:space="preserve">. - budowla to każdy </w:t>
      </w:r>
      <w:r w:rsidR="00731CC8" w:rsidRPr="00731CC8">
        <w:t>obiekt budowlany niebędący budynkiem lub obiektem małej architektury, jak: obiekty liniowe, lotniska, mosty, wiadukty, estakady, tunele, przepusty, sieci techniczne, wolno stojące maszty antenowe, wolno stojące trwale związane z gruntem tablice reklamowe i urządzenia reklamowe, budowle ziemne, obronne (fortyfikacje), ochronne, hydrotechniczne, zbiorniki, wolno stojące instalacje przemysłowe lub urządzenia techniczne, oczyszczalnie ścieków, składowiska odpadów, stacje uzdatniania wody, konstrukcje oporowe, nadziemne i podziemne przejścia dla pieszych, sieci uzbrojenia terenu, budowle sportowe, cmentarze, pomniki, a także części budowlane urządzeń technicznych (kotłów, pieców przemysłowych, elektrowni jądrowych, elektrowni wiatrowych, morskich turbin wiatrowych i innych urządzeń) oraz fundamenty pod maszyny i urządzenia, jako odrębne pod względem technicznym części przedmiotów składających się na całość użytkową</w:t>
      </w:r>
      <w:r w:rsidRPr="00967990">
        <w:t>.</w:t>
      </w:r>
    </w:p>
    <w:p w:rsidR="00296F01" w:rsidRPr="00967990" w:rsidRDefault="00296F01" w:rsidP="00050247">
      <w:r w:rsidRPr="00967990">
        <w:t xml:space="preserve">Z kolei, urządzenie budowlane zostało zdefiniowane w art. 3 pkt 9 </w:t>
      </w:r>
      <w:proofErr w:type="spellStart"/>
      <w:r w:rsidRPr="00967990">
        <w:t>u.p.b</w:t>
      </w:r>
      <w:proofErr w:type="spellEnd"/>
      <w:r w:rsidRPr="00967990">
        <w:t>., jako urządzenie techniczne związane z obiektem budowlanym zapewniające możliwość użytkowania obiektu zgodnie z jego przeznaczeniem, jak przyłącza i urządzenia instalacyjne, w tym służące oczyszczaniu i gromadzeniu ścieków, a także przejazdy, ogrodzenia, place postojowe i place pod śmietniki.</w:t>
      </w:r>
    </w:p>
    <w:p w:rsidR="00296F01" w:rsidRPr="00967990" w:rsidRDefault="000F5A2A" w:rsidP="00050247">
      <w:r w:rsidRPr="00967990">
        <w:t xml:space="preserve">Wobec powyższego zauważyć należy, </w:t>
      </w:r>
      <w:r w:rsidR="00296F01" w:rsidRPr="00967990">
        <w:t>że w żadnym z katalogów ani obiektów budowlanych, ani części budowlanych urządzeń technicznych nie zostały w sposób wyraźny wymienione panele czy ogniwa fotowoltaiczne. Analizowane przepisy zawierają jedynie przykładowe wyliczenie rodzajów budowli oraz urządzeń budowlanych. Katalogi te mają charakter otwarty.</w:t>
      </w:r>
    </w:p>
    <w:p w:rsidR="00296F01" w:rsidRPr="00967990" w:rsidRDefault="00296F01" w:rsidP="00050247">
      <w:r w:rsidRPr="00967990">
        <w:lastRenderedPageBreak/>
        <w:t>W tym stanie rzeczy, oceny kwalifikacji paneli do budowli (urządzeń budowlanych) należy dokonać w</w:t>
      </w:r>
      <w:r w:rsidR="00CE0267">
        <w:t> </w:t>
      </w:r>
      <w:r w:rsidRPr="00967990">
        <w:t>oparciu o następujące kryteria: budowę, wygląd oraz funkcję jaką spełniają. Przeprowadzona pod tym kątem analiza dowodzi, że żadne z tych kryteriów nie są wspólne dla paneli i wymienionych przykładowo obiektów budowlanych i urządzeń budowalnych. Co istotne, wskazane obiekty nie są ani z budowy, ani z wyglądu zbliżone do paneli, ponadto spełniają różne funkcje, a żaden</w:t>
      </w:r>
      <w:r w:rsidR="00CE0267">
        <w:t xml:space="preserve"> </w:t>
      </w:r>
      <w:r w:rsidRPr="00967990">
        <w:t>z</w:t>
      </w:r>
      <w:r w:rsidR="00CE0267">
        <w:t> </w:t>
      </w:r>
      <w:r w:rsidRPr="00967990">
        <w:t>przykładów nie spełnia funkcji zamiany energii słonecznej na elektryczną, ani też zamiany innej energii. Kryterium zamiany, czy wytwarzania energii występuje natomiast w przykładach urządzeń technicznych, których części budowlane stanowią budowle. Kotły i piece przemysłowe służą bowiem do wytwarzania energii cieplnej, a elektrownie jądrowe służą wytwarzaniu energii elektrycznej. Wytwarzaniu energii elektrycznej służą także panele fotowoltaiczne.</w:t>
      </w:r>
    </w:p>
    <w:p w:rsidR="00296F01" w:rsidRPr="00967990" w:rsidRDefault="00296F01" w:rsidP="00050247">
      <w:r w:rsidRPr="00967990">
        <w:t>Istotne znaczenie ma również i to, że jak wynika z opisu stanu faktycznego – istnieje łatwość demontażu paneli. Cecha ta w sposób wyraźny odróżnia panele od przykładów obiektów budowlanych i urządzeń budowlanych.</w:t>
      </w:r>
    </w:p>
    <w:p w:rsidR="00296F01" w:rsidRPr="00967990" w:rsidRDefault="00296F01" w:rsidP="00050247">
      <w:r w:rsidRPr="00967990">
        <w:t>Powyższe uwagi wpisują się w argumentację zawartą w wyroku Trybunału Konstytucyjnego z 13</w:t>
      </w:r>
      <w:r w:rsidR="00CE0267">
        <w:t> </w:t>
      </w:r>
      <w:r w:rsidRPr="00967990">
        <w:t xml:space="preserve"> września 2011 roku, sygn. akt P 33/09. W orzeczeniu tym bowiem uznano, że o ile w prawie budowlanym dopuszczalne jest przyjęcie, że definicja budowli zawiera niepełny ich katalog, o tyle w</w:t>
      </w:r>
      <w:r w:rsidR="00CE0267">
        <w:t> </w:t>
      </w:r>
      <w:r w:rsidRPr="00967990">
        <w:t xml:space="preserve"> sytuacji, gdy definicja ta ma mieć zastosowanie w prawie podatkowym, taka wykładnia jest niedopuszczalna. Należy też za Trybunałem Konstytucyjnym powtórzyć, że z punktu widzenia standardów konstytucyjnych zakresem przedmiotowym opodatkowania podatkiem od nieruchomości mogą zostać objęte budowle w rozumieniu art. 3 pkt 3 </w:t>
      </w:r>
      <w:proofErr w:type="spellStart"/>
      <w:r w:rsidRPr="00967990">
        <w:t>u.p.b</w:t>
      </w:r>
      <w:proofErr w:type="spellEnd"/>
      <w:r w:rsidRPr="00967990">
        <w:t>., należące do kategorii obiektów, które expressis verbis wymieniono w tym przepisie, innych przepisach tej ustawy lub</w:t>
      </w:r>
      <w:r w:rsidR="00CE0267">
        <w:t> </w:t>
      </w:r>
      <w:r w:rsidRPr="00967990">
        <w:t xml:space="preserve">załączniku do niej, będące wraz z instalacjami i urządzeniami obiektem budowlanym. Przy czym uwagi te pozostają w pełni aktualne także do przepisu art. 3 pkt 9 </w:t>
      </w:r>
      <w:proofErr w:type="spellStart"/>
      <w:r w:rsidR="000F5A2A" w:rsidRPr="00967990">
        <w:t>u.p</w:t>
      </w:r>
      <w:r w:rsidRPr="00967990">
        <w:t>.b</w:t>
      </w:r>
      <w:proofErr w:type="spellEnd"/>
      <w:r w:rsidRPr="00967990">
        <w:t>.</w:t>
      </w:r>
    </w:p>
    <w:p w:rsidR="00296F01" w:rsidRDefault="00296F01" w:rsidP="00050247">
      <w:r w:rsidRPr="00967990">
        <w:t xml:space="preserve">W świetle powyższych uwag za nieistotną prawnie należy uznać okoliczność, że panele fotowoltaiczne stanowią główne źródło energii w budynku. </w:t>
      </w:r>
      <w:r w:rsidR="001E6A37">
        <w:t>W</w:t>
      </w:r>
      <w:r w:rsidR="000F5A2A" w:rsidRPr="00967990">
        <w:t>skazać należy, że</w:t>
      </w:r>
      <w:r w:rsidRPr="00967990">
        <w:t xml:space="preserve"> nie źródło energii jako takie determinuje użytkowanie budynku zgodnie z jego przeznaczeniem ale posiadana instalacja, która umożliwia doprowadzenie energii elektrycznej do budynku i zapewnia warunki dla jej wykorzystania. Takie rozumienie tego pojęcia koreluje </w:t>
      </w:r>
      <w:r w:rsidR="00731CC8">
        <w:t xml:space="preserve">z brzmieniem art. 3 pkt 9 </w:t>
      </w:r>
      <w:proofErr w:type="spellStart"/>
      <w:r w:rsidR="00731CC8" w:rsidRPr="00967990">
        <w:t>u.p.b</w:t>
      </w:r>
      <w:proofErr w:type="spellEnd"/>
      <w:r w:rsidR="00731CC8" w:rsidRPr="00967990">
        <w:t>.</w:t>
      </w:r>
    </w:p>
    <w:p w:rsidR="000F0A86" w:rsidRDefault="004E0491" w:rsidP="00050247">
      <w:r>
        <w:t>Prawidłowe jest zatem stanowisko Wnioskodawcy, że p</w:t>
      </w:r>
      <w:r w:rsidRPr="004E0491">
        <w:t xml:space="preserve">anele fotowoltaiczne będące głównym źródłem zasilania obiektów na których są montowane (Wariant 2), nie stanowią budowli w rozumieniu art. 1a ust. 1 pkt 2 </w:t>
      </w:r>
      <w:proofErr w:type="spellStart"/>
      <w:r w:rsidRPr="004E0491">
        <w:t>upol</w:t>
      </w:r>
      <w:proofErr w:type="spellEnd"/>
      <w:r w:rsidRPr="004E0491">
        <w:t xml:space="preserve"> podlegającej opodatkowaniu podatkiem od nieruchomości</w:t>
      </w:r>
      <w:r>
        <w:t>.</w:t>
      </w:r>
    </w:p>
    <w:p w:rsidR="00EF2590" w:rsidRDefault="00EF2590" w:rsidP="00CE0267">
      <w:pPr>
        <w:rPr>
          <w:rFonts w:cs="Calibri"/>
          <w:szCs w:val="22"/>
        </w:rPr>
      </w:pPr>
      <w:r>
        <w:t>Zatem w świetle powyższego, stanowisko Wniosk</w:t>
      </w:r>
      <w:r w:rsidR="000F5A2A">
        <w:t>odawcy przedstawione we wniosku, dotyczące pytania nr 2,</w:t>
      </w:r>
      <w:r>
        <w:t xml:space="preserve"> uznać należy za prawidłowe w obowiązującym stanie prawnym.</w:t>
      </w:r>
    </w:p>
    <w:p w:rsidR="00077D21" w:rsidRPr="00CA7AC1" w:rsidRDefault="00077D21" w:rsidP="00CE0267">
      <w:pPr>
        <w:pStyle w:val="Nagwek1"/>
      </w:pPr>
      <w:r w:rsidRPr="00CA7AC1">
        <w:lastRenderedPageBreak/>
        <w:t>Pouczenie</w:t>
      </w:r>
    </w:p>
    <w:p w:rsidR="00077D21" w:rsidRPr="002D2B82" w:rsidRDefault="006D58C4" w:rsidP="00050247">
      <w:r w:rsidRPr="00F2470C">
        <w:t xml:space="preserve">Wnioskodawcy przysługuje prawo do wniesienia skargi na niniejszą interpretację przepisów prawa podatkowego. Skargę wnosi się do Wojewódzkiego Sądu Administracyjnego w Warszawie w terminie 30 dni od dnia doręczenia interpretacji przepisów prawa podatkowego (art. 53 § 1 ustawy z dnia </w:t>
      </w:r>
      <w:r>
        <w:t>30</w:t>
      </w:r>
      <w:r w:rsidR="00CE0267">
        <w:t> </w:t>
      </w:r>
      <w:r>
        <w:t xml:space="preserve"> sierpnia 2002 r. – Prawo</w:t>
      </w:r>
      <w:r w:rsidRPr="00F2470C">
        <w:t xml:space="preserve"> o postępowaniu przed sądami administracyjnymi – Dz. U. z 20</w:t>
      </w:r>
      <w:r w:rsidR="00786C61">
        <w:t>22</w:t>
      </w:r>
      <w:r w:rsidRPr="00F2470C">
        <w:t xml:space="preserve"> r. poz. 32</w:t>
      </w:r>
      <w:r w:rsidR="00786C61">
        <w:t>9</w:t>
      </w:r>
      <w:r w:rsidRPr="00F2470C">
        <w:t>). Skargę wnosi się za pośrednictwem Prezydenta m.st. Warszawy – Centrum Obsługi Podatnika, ul. Obozowa 57, 01-161</w:t>
      </w:r>
      <w:r>
        <w:t xml:space="preserve"> Warszawa (adres do korespondencji: Al. Jerozolimski</w:t>
      </w:r>
      <w:r w:rsidR="00CE0267">
        <w:t>e 44, 00-024 Warszawa).</w:t>
      </w:r>
    </w:p>
    <w:sectPr w:rsidR="00077D21" w:rsidRPr="002D2B82" w:rsidSect="00DA7EB4">
      <w:footerReference w:type="even" r:id="rId9"/>
      <w:footerReference w:type="default" r:id="rId10"/>
      <w:pgSz w:w="11906" w:h="16838"/>
      <w:pgMar w:top="1417" w:right="1417" w:bottom="1417" w:left="1417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AD1" w:rsidRDefault="00DE6AD1" w:rsidP="000B5F7B">
      <w:r>
        <w:separator/>
      </w:r>
    </w:p>
  </w:endnote>
  <w:endnote w:type="continuationSeparator" w:id="0">
    <w:p w:rsidR="00DE6AD1" w:rsidRDefault="00DE6AD1" w:rsidP="000B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33" w:rsidRDefault="00080433" w:rsidP="003A30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0433" w:rsidRDefault="00080433" w:rsidP="00FA65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33" w:rsidRPr="00050247" w:rsidRDefault="00080433" w:rsidP="008A79B3">
    <w:pPr>
      <w:pStyle w:val="Teksttreci30"/>
      <w:pBdr>
        <w:top w:val="single" w:sz="4" w:space="1" w:color="auto"/>
      </w:pBdr>
      <w:shd w:val="clear" w:color="auto" w:fill="auto"/>
      <w:spacing w:before="0"/>
      <w:ind w:left="140"/>
      <w:rPr>
        <w:rFonts w:asciiTheme="minorHAnsi" w:hAnsiTheme="minorHAnsi" w:cstheme="minorHAnsi"/>
        <w:sz w:val="22"/>
        <w:szCs w:val="22"/>
      </w:rPr>
    </w:pPr>
    <w:r w:rsidRPr="00050247">
      <w:rPr>
        <w:rFonts w:asciiTheme="minorHAnsi" w:hAnsiTheme="minorHAnsi" w:cstheme="minorHAnsi"/>
        <w:sz w:val="22"/>
        <w:szCs w:val="22"/>
      </w:rPr>
      <w:t>Urząd m.st. Warszawy - Centrum Obsługi Podatnika</w:t>
    </w:r>
  </w:p>
  <w:p w:rsidR="00080433" w:rsidRPr="00050247" w:rsidRDefault="00080433" w:rsidP="008A79B3">
    <w:pPr>
      <w:pStyle w:val="Teksttreci30"/>
      <w:pBdr>
        <w:top w:val="single" w:sz="4" w:space="1" w:color="auto"/>
      </w:pBdr>
      <w:shd w:val="clear" w:color="auto" w:fill="auto"/>
      <w:spacing w:before="0"/>
      <w:ind w:left="140"/>
      <w:rPr>
        <w:rFonts w:asciiTheme="minorHAnsi" w:hAnsiTheme="minorHAnsi" w:cstheme="minorHAnsi"/>
        <w:sz w:val="22"/>
        <w:szCs w:val="22"/>
      </w:rPr>
    </w:pPr>
    <w:r w:rsidRPr="00050247">
      <w:rPr>
        <w:rFonts w:asciiTheme="minorHAnsi" w:hAnsiTheme="minorHAnsi" w:cstheme="minorHAnsi"/>
        <w:sz w:val="22"/>
        <w:szCs w:val="22"/>
      </w:rPr>
      <w:t xml:space="preserve"> ul. Obozowa 57, 01-161 Warszawa </w:t>
    </w:r>
  </w:p>
  <w:p w:rsidR="00080433" w:rsidRPr="00050247" w:rsidRDefault="00080433" w:rsidP="006F7A39">
    <w:pPr>
      <w:pStyle w:val="Teksttreci30"/>
      <w:pBdr>
        <w:top w:val="single" w:sz="4" w:space="1" w:color="auto"/>
      </w:pBdr>
      <w:shd w:val="clear" w:color="auto" w:fill="auto"/>
      <w:tabs>
        <w:tab w:val="center" w:pos="4606"/>
        <w:tab w:val="left" w:pos="8064"/>
      </w:tabs>
      <w:spacing w:before="0"/>
      <w:ind w:left="140"/>
      <w:rPr>
        <w:rFonts w:asciiTheme="minorHAnsi" w:hAnsiTheme="minorHAnsi" w:cstheme="minorHAnsi"/>
        <w:sz w:val="22"/>
        <w:szCs w:val="22"/>
      </w:rPr>
    </w:pPr>
    <w:r w:rsidRPr="00050247">
      <w:rPr>
        <w:rFonts w:asciiTheme="minorHAnsi" w:hAnsiTheme="minorHAnsi" w:cstheme="minorHAnsi"/>
        <w:sz w:val="22"/>
        <w:szCs w:val="22"/>
      </w:rPr>
      <w:t>tel. +48224430962</w:t>
    </w:r>
  </w:p>
  <w:p w:rsidR="00080433" w:rsidRPr="00050247" w:rsidRDefault="00080433" w:rsidP="008A79B3">
    <w:pPr>
      <w:pStyle w:val="Teksttreci30"/>
      <w:pBdr>
        <w:top w:val="single" w:sz="4" w:space="1" w:color="auto"/>
      </w:pBdr>
      <w:shd w:val="clear" w:color="auto" w:fill="auto"/>
      <w:spacing w:before="0"/>
      <w:ind w:left="140"/>
      <w:rPr>
        <w:rFonts w:asciiTheme="minorHAnsi" w:hAnsiTheme="minorHAnsi" w:cstheme="minorHAnsi"/>
        <w:sz w:val="22"/>
        <w:szCs w:val="22"/>
      </w:rPr>
    </w:pPr>
    <w:r w:rsidRPr="00050247">
      <w:rPr>
        <w:rFonts w:asciiTheme="minorHAnsi" w:hAnsiTheme="minorHAnsi" w:cstheme="minorHAnsi"/>
        <w:b w:val="0"/>
        <w:bCs w:val="0"/>
        <w:sz w:val="22"/>
        <w:szCs w:val="22"/>
      </w:rPr>
      <w:fldChar w:fldCharType="begin"/>
    </w:r>
    <w:r w:rsidRPr="00050247">
      <w:rPr>
        <w:rFonts w:asciiTheme="minorHAnsi" w:hAnsiTheme="minorHAnsi" w:cstheme="minorHAnsi"/>
        <w:sz w:val="22"/>
        <w:szCs w:val="22"/>
      </w:rPr>
      <w:instrText>PAGE  \* Arabic  \* MERGEFORMAT</w:instrText>
    </w:r>
    <w:r w:rsidRPr="00050247">
      <w:rPr>
        <w:rFonts w:asciiTheme="minorHAnsi" w:hAnsiTheme="minorHAnsi" w:cstheme="minorHAnsi"/>
        <w:b w:val="0"/>
        <w:bCs w:val="0"/>
        <w:sz w:val="22"/>
        <w:szCs w:val="22"/>
      </w:rPr>
      <w:fldChar w:fldCharType="separate"/>
    </w:r>
    <w:r w:rsidR="00BA15A1">
      <w:rPr>
        <w:rFonts w:asciiTheme="minorHAnsi" w:hAnsiTheme="minorHAnsi" w:cstheme="minorHAnsi"/>
        <w:noProof/>
        <w:sz w:val="22"/>
        <w:szCs w:val="22"/>
      </w:rPr>
      <w:t>6</w:t>
    </w:r>
    <w:r w:rsidRPr="00050247">
      <w:rPr>
        <w:rFonts w:asciiTheme="minorHAnsi" w:hAnsiTheme="minorHAnsi" w:cstheme="minorHAnsi"/>
        <w:b w:val="0"/>
        <w:bCs w:val="0"/>
        <w:sz w:val="22"/>
        <w:szCs w:val="22"/>
      </w:rPr>
      <w:fldChar w:fldCharType="end"/>
    </w:r>
    <w:r w:rsidRPr="00050247">
      <w:rPr>
        <w:rFonts w:asciiTheme="minorHAnsi" w:hAnsiTheme="minorHAnsi" w:cstheme="minorHAnsi"/>
        <w:sz w:val="22"/>
        <w:szCs w:val="22"/>
      </w:rPr>
      <w:t xml:space="preserve"> z </w:t>
    </w:r>
    <w:r w:rsidR="00DE6AD1" w:rsidRPr="00050247">
      <w:rPr>
        <w:rFonts w:asciiTheme="minorHAnsi" w:hAnsiTheme="minorHAnsi" w:cstheme="minorHAnsi"/>
        <w:sz w:val="22"/>
        <w:szCs w:val="22"/>
      </w:rPr>
      <w:fldChar w:fldCharType="begin"/>
    </w:r>
    <w:r w:rsidR="00DE6AD1" w:rsidRPr="00050247">
      <w:rPr>
        <w:rFonts w:asciiTheme="minorHAnsi" w:hAnsiTheme="minorHAnsi" w:cstheme="minorHAnsi"/>
        <w:sz w:val="22"/>
        <w:szCs w:val="22"/>
      </w:rPr>
      <w:instrText>NUMPAGES  \* Arabic  \* MERGEFORMAT</w:instrText>
    </w:r>
    <w:r w:rsidR="00DE6AD1" w:rsidRPr="00050247">
      <w:rPr>
        <w:rFonts w:asciiTheme="minorHAnsi" w:hAnsiTheme="minorHAnsi" w:cstheme="minorHAnsi"/>
        <w:sz w:val="22"/>
        <w:szCs w:val="22"/>
      </w:rPr>
      <w:fldChar w:fldCharType="separate"/>
    </w:r>
    <w:r w:rsidR="00BA15A1">
      <w:rPr>
        <w:rFonts w:asciiTheme="minorHAnsi" w:hAnsiTheme="minorHAnsi" w:cstheme="minorHAnsi"/>
        <w:noProof/>
        <w:sz w:val="22"/>
        <w:szCs w:val="22"/>
      </w:rPr>
      <w:t>6</w:t>
    </w:r>
    <w:r w:rsidR="00DE6AD1" w:rsidRPr="00050247">
      <w:rPr>
        <w:rFonts w:asciiTheme="minorHAnsi" w:hAnsiTheme="minorHAnsi" w:cstheme="minorHAnsi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AD1" w:rsidRDefault="00DE6AD1" w:rsidP="000B5F7B">
      <w:r>
        <w:separator/>
      </w:r>
    </w:p>
  </w:footnote>
  <w:footnote w:type="continuationSeparator" w:id="0">
    <w:p w:rsidR="00DE6AD1" w:rsidRDefault="00DE6AD1" w:rsidP="000B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305E"/>
    <w:multiLevelType w:val="hybridMultilevel"/>
    <w:tmpl w:val="32683D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5235"/>
    <w:multiLevelType w:val="hybridMultilevel"/>
    <w:tmpl w:val="99967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E7E72"/>
    <w:multiLevelType w:val="hybridMultilevel"/>
    <w:tmpl w:val="7F0436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55077"/>
    <w:multiLevelType w:val="hybridMultilevel"/>
    <w:tmpl w:val="28FE2284"/>
    <w:lvl w:ilvl="0" w:tplc="C1D6A256">
      <w:start w:val="2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2CBB499A"/>
    <w:multiLevelType w:val="hybridMultilevel"/>
    <w:tmpl w:val="2116C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126C1"/>
    <w:multiLevelType w:val="hybridMultilevel"/>
    <w:tmpl w:val="E92002C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3A62748A"/>
    <w:multiLevelType w:val="hybridMultilevel"/>
    <w:tmpl w:val="5C2A4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15AA9"/>
    <w:multiLevelType w:val="multilevel"/>
    <w:tmpl w:val="C31EEB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C373B2"/>
    <w:multiLevelType w:val="hybridMultilevel"/>
    <w:tmpl w:val="2AD69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007D3"/>
    <w:multiLevelType w:val="hybridMultilevel"/>
    <w:tmpl w:val="6BD2BA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6879A3"/>
    <w:multiLevelType w:val="hybridMultilevel"/>
    <w:tmpl w:val="10525D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17A97"/>
    <w:multiLevelType w:val="hybridMultilevel"/>
    <w:tmpl w:val="119E3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F47F2"/>
    <w:multiLevelType w:val="hybridMultilevel"/>
    <w:tmpl w:val="437EA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A5E56"/>
    <w:multiLevelType w:val="hybridMultilevel"/>
    <w:tmpl w:val="8F22A6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75763"/>
    <w:multiLevelType w:val="hybridMultilevel"/>
    <w:tmpl w:val="97B68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F5441"/>
    <w:multiLevelType w:val="multilevel"/>
    <w:tmpl w:val="13EA534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F10D9A"/>
    <w:multiLevelType w:val="hybridMultilevel"/>
    <w:tmpl w:val="E5382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0657F"/>
    <w:multiLevelType w:val="hybridMultilevel"/>
    <w:tmpl w:val="348E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044D4"/>
    <w:multiLevelType w:val="hybridMultilevel"/>
    <w:tmpl w:val="49EC3E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8418F"/>
    <w:multiLevelType w:val="hybridMultilevel"/>
    <w:tmpl w:val="B5564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545D7"/>
    <w:multiLevelType w:val="hybridMultilevel"/>
    <w:tmpl w:val="36B06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15908"/>
    <w:multiLevelType w:val="hybridMultilevel"/>
    <w:tmpl w:val="B12C8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15"/>
  </w:num>
  <w:num w:numId="11">
    <w:abstractNumId w:val="2"/>
  </w:num>
  <w:num w:numId="12">
    <w:abstractNumId w:val="10"/>
  </w:num>
  <w:num w:numId="13">
    <w:abstractNumId w:val="13"/>
  </w:num>
  <w:num w:numId="14">
    <w:abstractNumId w:val="12"/>
  </w:num>
  <w:num w:numId="15">
    <w:abstractNumId w:val="20"/>
  </w:num>
  <w:num w:numId="16">
    <w:abstractNumId w:val="19"/>
  </w:num>
  <w:num w:numId="17">
    <w:abstractNumId w:val="21"/>
  </w:num>
  <w:num w:numId="18">
    <w:abstractNumId w:val="11"/>
  </w:num>
  <w:num w:numId="19">
    <w:abstractNumId w:val="16"/>
  </w:num>
  <w:num w:numId="20">
    <w:abstractNumId w:val="18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24"/>
    <w:rsid w:val="00002E42"/>
    <w:rsid w:val="00005294"/>
    <w:rsid w:val="000076C6"/>
    <w:rsid w:val="0000793D"/>
    <w:rsid w:val="00015B6D"/>
    <w:rsid w:val="00017F2C"/>
    <w:rsid w:val="0002147E"/>
    <w:rsid w:val="000231FB"/>
    <w:rsid w:val="00042D74"/>
    <w:rsid w:val="00050247"/>
    <w:rsid w:val="000513A8"/>
    <w:rsid w:val="00052ECF"/>
    <w:rsid w:val="00054F02"/>
    <w:rsid w:val="000572AD"/>
    <w:rsid w:val="0006741A"/>
    <w:rsid w:val="0007193E"/>
    <w:rsid w:val="00071D97"/>
    <w:rsid w:val="00072F0C"/>
    <w:rsid w:val="000759B3"/>
    <w:rsid w:val="00077A5D"/>
    <w:rsid w:val="00077D21"/>
    <w:rsid w:val="00077F2D"/>
    <w:rsid w:val="00080433"/>
    <w:rsid w:val="000819EF"/>
    <w:rsid w:val="00082D69"/>
    <w:rsid w:val="00097364"/>
    <w:rsid w:val="000974BD"/>
    <w:rsid w:val="000A30F5"/>
    <w:rsid w:val="000A6723"/>
    <w:rsid w:val="000B445A"/>
    <w:rsid w:val="000B5F7B"/>
    <w:rsid w:val="000C2BAB"/>
    <w:rsid w:val="000D321B"/>
    <w:rsid w:val="000D5781"/>
    <w:rsid w:val="000D5F43"/>
    <w:rsid w:val="000E18C5"/>
    <w:rsid w:val="000E29FF"/>
    <w:rsid w:val="000E50A4"/>
    <w:rsid w:val="000F0A86"/>
    <w:rsid w:val="000F11AF"/>
    <w:rsid w:val="000F5A2A"/>
    <w:rsid w:val="001033DB"/>
    <w:rsid w:val="00107FE2"/>
    <w:rsid w:val="00114D2F"/>
    <w:rsid w:val="00114FA7"/>
    <w:rsid w:val="00115A92"/>
    <w:rsid w:val="00117618"/>
    <w:rsid w:val="0012043D"/>
    <w:rsid w:val="00127DC0"/>
    <w:rsid w:val="00132892"/>
    <w:rsid w:val="00136893"/>
    <w:rsid w:val="00137149"/>
    <w:rsid w:val="00140E6D"/>
    <w:rsid w:val="00143CDB"/>
    <w:rsid w:val="00146995"/>
    <w:rsid w:val="0016143A"/>
    <w:rsid w:val="0016191E"/>
    <w:rsid w:val="0016354E"/>
    <w:rsid w:val="00170451"/>
    <w:rsid w:val="00174203"/>
    <w:rsid w:val="001746E6"/>
    <w:rsid w:val="001821B4"/>
    <w:rsid w:val="0018321B"/>
    <w:rsid w:val="001862FB"/>
    <w:rsid w:val="001872C1"/>
    <w:rsid w:val="0018759B"/>
    <w:rsid w:val="00194841"/>
    <w:rsid w:val="00196898"/>
    <w:rsid w:val="001A7656"/>
    <w:rsid w:val="001B1DC8"/>
    <w:rsid w:val="001B1FE7"/>
    <w:rsid w:val="001B710B"/>
    <w:rsid w:val="001D12C2"/>
    <w:rsid w:val="001D3798"/>
    <w:rsid w:val="001E212E"/>
    <w:rsid w:val="001E6A37"/>
    <w:rsid w:val="001F3658"/>
    <w:rsid w:val="00204FDB"/>
    <w:rsid w:val="0020529B"/>
    <w:rsid w:val="002059C4"/>
    <w:rsid w:val="002371A8"/>
    <w:rsid w:val="00262BC2"/>
    <w:rsid w:val="00264FA6"/>
    <w:rsid w:val="002658CD"/>
    <w:rsid w:val="00287271"/>
    <w:rsid w:val="0029658B"/>
    <w:rsid w:val="002965E0"/>
    <w:rsid w:val="00296F01"/>
    <w:rsid w:val="002D2B2B"/>
    <w:rsid w:val="002D2B82"/>
    <w:rsid w:val="002D4814"/>
    <w:rsid w:val="002D680B"/>
    <w:rsid w:val="002E077A"/>
    <w:rsid w:val="002E6D20"/>
    <w:rsid w:val="002F411B"/>
    <w:rsid w:val="002F7272"/>
    <w:rsid w:val="002F7811"/>
    <w:rsid w:val="0030482C"/>
    <w:rsid w:val="0030602F"/>
    <w:rsid w:val="00325EE9"/>
    <w:rsid w:val="0033528D"/>
    <w:rsid w:val="00335322"/>
    <w:rsid w:val="00337FD1"/>
    <w:rsid w:val="003438A1"/>
    <w:rsid w:val="003544DD"/>
    <w:rsid w:val="00356DC6"/>
    <w:rsid w:val="00360539"/>
    <w:rsid w:val="00361280"/>
    <w:rsid w:val="0036259B"/>
    <w:rsid w:val="003677F2"/>
    <w:rsid w:val="00384140"/>
    <w:rsid w:val="003849C3"/>
    <w:rsid w:val="00384EAD"/>
    <w:rsid w:val="00387679"/>
    <w:rsid w:val="00394CF7"/>
    <w:rsid w:val="003974BB"/>
    <w:rsid w:val="003A0AAB"/>
    <w:rsid w:val="003A309C"/>
    <w:rsid w:val="003A377A"/>
    <w:rsid w:val="003A55DA"/>
    <w:rsid w:val="003C2802"/>
    <w:rsid w:val="003C4F2F"/>
    <w:rsid w:val="003C7B29"/>
    <w:rsid w:val="003D1BFB"/>
    <w:rsid w:val="003D1CD7"/>
    <w:rsid w:val="003D6083"/>
    <w:rsid w:val="003E7A2F"/>
    <w:rsid w:val="003F2235"/>
    <w:rsid w:val="003F4BE9"/>
    <w:rsid w:val="003F4E11"/>
    <w:rsid w:val="003F5FB8"/>
    <w:rsid w:val="003F6E8B"/>
    <w:rsid w:val="00403319"/>
    <w:rsid w:val="00403CBA"/>
    <w:rsid w:val="0040587A"/>
    <w:rsid w:val="00423803"/>
    <w:rsid w:val="00424518"/>
    <w:rsid w:val="004278F3"/>
    <w:rsid w:val="00431DE8"/>
    <w:rsid w:val="0044785C"/>
    <w:rsid w:val="00451FA4"/>
    <w:rsid w:val="00454B58"/>
    <w:rsid w:val="00473680"/>
    <w:rsid w:val="0047578E"/>
    <w:rsid w:val="004849AE"/>
    <w:rsid w:val="004A0523"/>
    <w:rsid w:val="004A50E0"/>
    <w:rsid w:val="004A559E"/>
    <w:rsid w:val="004A72F5"/>
    <w:rsid w:val="004B4D5A"/>
    <w:rsid w:val="004C1B0C"/>
    <w:rsid w:val="004C6190"/>
    <w:rsid w:val="004D2E6C"/>
    <w:rsid w:val="004D4A28"/>
    <w:rsid w:val="004E0491"/>
    <w:rsid w:val="004E2CF0"/>
    <w:rsid w:val="004E4C7B"/>
    <w:rsid w:val="004F17CF"/>
    <w:rsid w:val="004F4108"/>
    <w:rsid w:val="005059AE"/>
    <w:rsid w:val="00531FE0"/>
    <w:rsid w:val="00534E63"/>
    <w:rsid w:val="00534E89"/>
    <w:rsid w:val="005352ED"/>
    <w:rsid w:val="00543444"/>
    <w:rsid w:val="00555166"/>
    <w:rsid w:val="00556F67"/>
    <w:rsid w:val="0056159E"/>
    <w:rsid w:val="00564A58"/>
    <w:rsid w:val="00565636"/>
    <w:rsid w:val="00565675"/>
    <w:rsid w:val="005709D6"/>
    <w:rsid w:val="00572E6E"/>
    <w:rsid w:val="00580FDA"/>
    <w:rsid w:val="00584580"/>
    <w:rsid w:val="00585C7B"/>
    <w:rsid w:val="00586E72"/>
    <w:rsid w:val="00590B2F"/>
    <w:rsid w:val="005949C3"/>
    <w:rsid w:val="00596893"/>
    <w:rsid w:val="00596B63"/>
    <w:rsid w:val="005A3169"/>
    <w:rsid w:val="005A53E0"/>
    <w:rsid w:val="005A70DB"/>
    <w:rsid w:val="005B2722"/>
    <w:rsid w:val="005B4A69"/>
    <w:rsid w:val="005B4EA1"/>
    <w:rsid w:val="005B6B3D"/>
    <w:rsid w:val="005C10DB"/>
    <w:rsid w:val="005C19CF"/>
    <w:rsid w:val="005D082B"/>
    <w:rsid w:val="005D3B59"/>
    <w:rsid w:val="005F0224"/>
    <w:rsid w:val="005F5F89"/>
    <w:rsid w:val="0061659B"/>
    <w:rsid w:val="00624CC2"/>
    <w:rsid w:val="00627AB1"/>
    <w:rsid w:val="00635D40"/>
    <w:rsid w:val="00644277"/>
    <w:rsid w:val="0064492A"/>
    <w:rsid w:val="00653537"/>
    <w:rsid w:val="00663C75"/>
    <w:rsid w:val="0067491D"/>
    <w:rsid w:val="0069498A"/>
    <w:rsid w:val="006A650E"/>
    <w:rsid w:val="006B1344"/>
    <w:rsid w:val="006C1350"/>
    <w:rsid w:val="006C73AA"/>
    <w:rsid w:val="006D58C4"/>
    <w:rsid w:val="006E3C66"/>
    <w:rsid w:val="006F5330"/>
    <w:rsid w:val="006F710E"/>
    <w:rsid w:val="006F7A39"/>
    <w:rsid w:val="00701DBB"/>
    <w:rsid w:val="00703A4C"/>
    <w:rsid w:val="0070605A"/>
    <w:rsid w:val="007143A8"/>
    <w:rsid w:val="007257F7"/>
    <w:rsid w:val="00726C75"/>
    <w:rsid w:val="00731CC8"/>
    <w:rsid w:val="00737428"/>
    <w:rsid w:val="007436E4"/>
    <w:rsid w:val="00745429"/>
    <w:rsid w:val="00745829"/>
    <w:rsid w:val="00745EAC"/>
    <w:rsid w:val="00760FEC"/>
    <w:rsid w:val="0076194D"/>
    <w:rsid w:val="00772DF0"/>
    <w:rsid w:val="0077428C"/>
    <w:rsid w:val="00786C61"/>
    <w:rsid w:val="00791D53"/>
    <w:rsid w:val="007A4BCD"/>
    <w:rsid w:val="007A6DBC"/>
    <w:rsid w:val="007C1631"/>
    <w:rsid w:val="007C5FB8"/>
    <w:rsid w:val="007D0BBB"/>
    <w:rsid w:val="007D669F"/>
    <w:rsid w:val="007F4923"/>
    <w:rsid w:val="007F6A32"/>
    <w:rsid w:val="007F6F5B"/>
    <w:rsid w:val="0080168D"/>
    <w:rsid w:val="00801D99"/>
    <w:rsid w:val="00802A85"/>
    <w:rsid w:val="00806B7D"/>
    <w:rsid w:val="00815925"/>
    <w:rsid w:val="0082121A"/>
    <w:rsid w:val="00822838"/>
    <w:rsid w:val="00822A28"/>
    <w:rsid w:val="00830BA5"/>
    <w:rsid w:val="00831BF7"/>
    <w:rsid w:val="008333CD"/>
    <w:rsid w:val="00835441"/>
    <w:rsid w:val="00836FC5"/>
    <w:rsid w:val="008550D7"/>
    <w:rsid w:val="00855C50"/>
    <w:rsid w:val="008576F4"/>
    <w:rsid w:val="008619F6"/>
    <w:rsid w:val="0086696A"/>
    <w:rsid w:val="00866DA4"/>
    <w:rsid w:val="00890E43"/>
    <w:rsid w:val="00893BA6"/>
    <w:rsid w:val="008A04D5"/>
    <w:rsid w:val="008A0C9C"/>
    <w:rsid w:val="008A64A4"/>
    <w:rsid w:val="008A79B3"/>
    <w:rsid w:val="008B56A0"/>
    <w:rsid w:val="008B6E48"/>
    <w:rsid w:val="008C5EAC"/>
    <w:rsid w:val="008D17F8"/>
    <w:rsid w:val="008D272C"/>
    <w:rsid w:val="008D779F"/>
    <w:rsid w:val="008D77E9"/>
    <w:rsid w:val="008E3256"/>
    <w:rsid w:val="008F580A"/>
    <w:rsid w:val="008F6787"/>
    <w:rsid w:val="009017BE"/>
    <w:rsid w:val="009019A3"/>
    <w:rsid w:val="00905812"/>
    <w:rsid w:val="0091525B"/>
    <w:rsid w:val="00922F85"/>
    <w:rsid w:val="00923885"/>
    <w:rsid w:val="0092423F"/>
    <w:rsid w:val="009256C1"/>
    <w:rsid w:val="009460CD"/>
    <w:rsid w:val="00946F06"/>
    <w:rsid w:val="00947D6C"/>
    <w:rsid w:val="009547CC"/>
    <w:rsid w:val="0095588A"/>
    <w:rsid w:val="00957C32"/>
    <w:rsid w:val="00964EE3"/>
    <w:rsid w:val="00967990"/>
    <w:rsid w:val="00967C08"/>
    <w:rsid w:val="0097766B"/>
    <w:rsid w:val="00991301"/>
    <w:rsid w:val="00995053"/>
    <w:rsid w:val="00997863"/>
    <w:rsid w:val="009A08DA"/>
    <w:rsid w:val="009A365F"/>
    <w:rsid w:val="009A662C"/>
    <w:rsid w:val="009B23DF"/>
    <w:rsid w:val="009B3853"/>
    <w:rsid w:val="009B5F91"/>
    <w:rsid w:val="009C4001"/>
    <w:rsid w:val="009D0D3A"/>
    <w:rsid w:val="009D145D"/>
    <w:rsid w:val="009E2D00"/>
    <w:rsid w:val="009F17B2"/>
    <w:rsid w:val="009F5172"/>
    <w:rsid w:val="00A01806"/>
    <w:rsid w:val="00A02ED6"/>
    <w:rsid w:val="00A10CA3"/>
    <w:rsid w:val="00A13BF6"/>
    <w:rsid w:val="00A2122D"/>
    <w:rsid w:val="00A2170D"/>
    <w:rsid w:val="00A40B5A"/>
    <w:rsid w:val="00A427D5"/>
    <w:rsid w:val="00A522F4"/>
    <w:rsid w:val="00A53123"/>
    <w:rsid w:val="00A57255"/>
    <w:rsid w:val="00A63B90"/>
    <w:rsid w:val="00A71D51"/>
    <w:rsid w:val="00A74958"/>
    <w:rsid w:val="00A80C40"/>
    <w:rsid w:val="00A853D8"/>
    <w:rsid w:val="00A85653"/>
    <w:rsid w:val="00A910FC"/>
    <w:rsid w:val="00AA2737"/>
    <w:rsid w:val="00AA401C"/>
    <w:rsid w:val="00AA4810"/>
    <w:rsid w:val="00AA685A"/>
    <w:rsid w:val="00AB028B"/>
    <w:rsid w:val="00AB1F44"/>
    <w:rsid w:val="00AB42E1"/>
    <w:rsid w:val="00AB444D"/>
    <w:rsid w:val="00AB6A95"/>
    <w:rsid w:val="00AC36EB"/>
    <w:rsid w:val="00AC5C21"/>
    <w:rsid w:val="00AD2782"/>
    <w:rsid w:val="00AD69AF"/>
    <w:rsid w:val="00AD6EF9"/>
    <w:rsid w:val="00AE50E1"/>
    <w:rsid w:val="00AF3855"/>
    <w:rsid w:val="00B10DAC"/>
    <w:rsid w:val="00B13019"/>
    <w:rsid w:val="00B155BE"/>
    <w:rsid w:val="00B248B7"/>
    <w:rsid w:val="00B30688"/>
    <w:rsid w:val="00B327C4"/>
    <w:rsid w:val="00B33782"/>
    <w:rsid w:val="00B36BAF"/>
    <w:rsid w:val="00B44094"/>
    <w:rsid w:val="00B50691"/>
    <w:rsid w:val="00B510C5"/>
    <w:rsid w:val="00B53AF6"/>
    <w:rsid w:val="00B5496F"/>
    <w:rsid w:val="00B630AB"/>
    <w:rsid w:val="00B64618"/>
    <w:rsid w:val="00B671EB"/>
    <w:rsid w:val="00B70A47"/>
    <w:rsid w:val="00B73F2A"/>
    <w:rsid w:val="00B826D4"/>
    <w:rsid w:val="00B87546"/>
    <w:rsid w:val="00BA15A1"/>
    <w:rsid w:val="00BA16E4"/>
    <w:rsid w:val="00BA3D40"/>
    <w:rsid w:val="00BA44BB"/>
    <w:rsid w:val="00BA52E8"/>
    <w:rsid w:val="00BA7840"/>
    <w:rsid w:val="00BB16D2"/>
    <w:rsid w:val="00BB2991"/>
    <w:rsid w:val="00BB3A98"/>
    <w:rsid w:val="00BC13CD"/>
    <w:rsid w:val="00BC1A7E"/>
    <w:rsid w:val="00BC2142"/>
    <w:rsid w:val="00BC4E4A"/>
    <w:rsid w:val="00BD44A3"/>
    <w:rsid w:val="00BD651A"/>
    <w:rsid w:val="00C01EF4"/>
    <w:rsid w:val="00C030A3"/>
    <w:rsid w:val="00C15640"/>
    <w:rsid w:val="00C2185C"/>
    <w:rsid w:val="00C34B4F"/>
    <w:rsid w:val="00C34BD6"/>
    <w:rsid w:val="00C54A86"/>
    <w:rsid w:val="00C54FC5"/>
    <w:rsid w:val="00C57A0B"/>
    <w:rsid w:val="00C62D84"/>
    <w:rsid w:val="00C70203"/>
    <w:rsid w:val="00C918AC"/>
    <w:rsid w:val="00CA0459"/>
    <w:rsid w:val="00CA74F5"/>
    <w:rsid w:val="00CA7AC1"/>
    <w:rsid w:val="00CC4185"/>
    <w:rsid w:val="00CC44FB"/>
    <w:rsid w:val="00CC7804"/>
    <w:rsid w:val="00CD0C6D"/>
    <w:rsid w:val="00CD39BC"/>
    <w:rsid w:val="00CE0267"/>
    <w:rsid w:val="00CE197A"/>
    <w:rsid w:val="00CE5097"/>
    <w:rsid w:val="00CF3BC6"/>
    <w:rsid w:val="00D01B4A"/>
    <w:rsid w:val="00D1085E"/>
    <w:rsid w:val="00D11FE1"/>
    <w:rsid w:val="00D12215"/>
    <w:rsid w:val="00D12E8D"/>
    <w:rsid w:val="00D2356A"/>
    <w:rsid w:val="00D235D9"/>
    <w:rsid w:val="00D24D4E"/>
    <w:rsid w:val="00D25147"/>
    <w:rsid w:val="00D27EFF"/>
    <w:rsid w:val="00D37769"/>
    <w:rsid w:val="00D43331"/>
    <w:rsid w:val="00D44287"/>
    <w:rsid w:val="00D44827"/>
    <w:rsid w:val="00D50499"/>
    <w:rsid w:val="00D530B9"/>
    <w:rsid w:val="00D617EB"/>
    <w:rsid w:val="00D80A97"/>
    <w:rsid w:val="00D81533"/>
    <w:rsid w:val="00D833BB"/>
    <w:rsid w:val="00D918DB"/>
    <w:rsid w:val="00D91BD6"/>
    <w:rsid w:val="00D95E93"/>
    <w:rsid w:val="00D97D88"/>
    <w:rsid w:val="00DA12E0"/>
    <w:rsid w:val="00DA3200"/>
    <w:rsid w:val="00DA45B9"/>
    <w:rsid w:val="00DA6B9D"/>
    <w:rsid w:val="00DA7EB4"/>
    <w:rsid w:val="00DB188F"/>
    <w:rsid w:val="00DB4ED8"/>
    <w:rsid w:val="00DC0466"/>
    <w:rsid w:val="00DC5FF2"/>
    <w:rsid w:val="00DD0539"/>
    <w:rsid w:val="00DD5BCC"/>
    <w:rsid w:val="00DD764E"/>
    <w:rsid w:val="00DE6AD1"/>
    <w:rsid w:val="00E00B45"/>
    <w:rsid w:val="00E114D2"/>
    <w:rsid w:val="00E136C0"/>
    <w:rsid w:val="00E161FF"/>
    <w:rsid w:val="00E162EC"/>
    <w:rsid w:val="00E16CE4"/>
    <w:rsid w:val="00E206F7"/>
    <w:rsid w:val="00E22B6A"/>
    <w:rsid w:val="00E34934"/>
    <w:rsid w:val="00E47634"/>
    <w:rsid w:val="00E6107F"/>
    <w:rsid w:val="00E6605E"/>
    <w:rsid w:val="00E66122"/>
    <w:rsid w:val="00E72711"/>
    <w:rsid w:val="00E72851"/>
    <w:rsid w:val="00E749FD"/>
    <w:rsid w:val="00E75F6D"/>
    <w:rsid w:val="00E8249F"/>
    <w:rsid w:val="00E85EFC"/>
    <w:rsid w:val="00E86F46"/>
    <w:rsid w:val="00E92408"/>
    <w:rsid w:val="00E9537A"/>
    <w:rsid w:val="00E95BD7"/>
    <w:rsid w:val="00E95DB5"/>
    <w:rsid w:val="00EA0DA9"/>
    <w:rsid w:val="00EA0DE6"/>
    <w:rsid w:val="00EA55FA"/>
    <w:rsid w:val="00EA6EF6"/>
    <w:rsid w:val="00EB534C"/>
    <w:rsid w:val="00EB5CE4"/>
    <w:rsid w:val="00EC3DA9"/>
    <w:rsid w:val="00EC4C41"/>
    <w:rsid w:val="00ED0DAF"/>
    <w:rsid w:val="00ED334C"/>
    <w:rsid w:val="00ED4DE3"/>
    <w:rsid w:val="00EE14BC"/>
    <w:rsid w:val="00EE5036"/>
    <w:rsid w:val="00EF1396"/>
    <w:rsid w:val="00EF2590"/>
    <w:rsid w:val="00EF3D6D"/>
    <w:rsid w:val="00EF40F7"/>
    <w:rsid w:val="00F03517"/>
    <w:rsid w:val="00F036D3"/>
    <w:rsid w:val="00F05B24"/>
    <w:rsid w:val="00F11112"/>
    <w:rsid w:val="00F36856"/>
    <w:rsid w:val="00F42AE0"/>
    <w:rsid w:val="00F4326C"/>
    <w:rsid w:val="00F47624"/>
    <w:rsid w:val="00F476C8"/>
    <w:rsid w:val="00F478DB"/>
    <w:rsid w:val="00F5627A"/>
    <w:rsid w:val="00F636BD"/>
    <w:rsid w:val="00F663D8"/>
    <w:rsid w:val="00F7270A"/>
    <w:rsid w:val="00F8363E"/>
    <w:rsid w:val="00F92A7B"/>
    <w:rsid w:val="00F9553B"/>
    <w:rsid w:val="00F95844"/>
    <w:rsid w:val="00F97733"/>
    <w:rsid w:val="00FA279D"/>
    <w:rsid w:val="00FA652D"/>
    <w:rsid w:val="00FB061F"/>
    <w:rsid w:val="00FC494F"/>
    <w:rsid w:val="00FC6638"/>
    <w:rsid w:val="00FD0765"/>
    <w:rsid w:val="00FD110C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00A61B"/>
  <w15:chartTrackingRefBased/>
  <w15:docId w15:val="{3C305455-4BF0-4E66-80FA-3D7A56E7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247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050247"/>
    <w:pPr>
      <w:keepNext/>
      <w:keepLines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4428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55C50"/>
    <w:pPr>
      <w:jc w:val="both"/>
    </w:pPr>
  </w:style>
  <w:style w:type="character" w:customStyle="1" w:styleId="TekstpodstawowyZnak">
    <w:name w:val="Tekst podstawowy Znak"/>
    <w:link w:val="Tekstpodstawowy"/>
    <w:rsid w:val="00855C50"/>
    <w:rPr>
      <w:sz w:val="24"/>
      <w:szCs w:val="24"/>
    </w:rPr>
  </w:style>
  <w:style w:type="paragraph" w:styleId="Nagwek">
    <w:name w:val="header"/>
    <w:basedOn w:val="Normalny"/>
    <w:link w:val="NagwekZnak"/>
    <w:rsid w:val="000B5F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B5F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B5F7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B5F7B"/>
    <w:rPr>
      <w:sz w:val="24"/>
      <w:szCs w:val="24"/>
    </w:rPr>
  </w:style>
  <w:style w:type="character" w:styleId="Hipercze">
    <w:name w:val="Hyperlink"/>
    <w:uiPriority w:val="99"/>
    <w:unhideWhenUsed/>
    <w:rsid w:val="005A53E0"/>
    <w:rPr>
      <w:color w:val="0000FF"/>
      <w:u w:val="single"/>
    </w:rPr>
  </w:style>
  <w:style w:type="paragraph" w:customStyle="1" w:styleId="Default">
    <w:name w:val="Default"/>
    <w:rsid w:val="005D3B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rsid w:val="00FA652D"/>
  </w:style>
  <w:style w:type="paragraph" w:styleId="NormalnyWeb">
    <w:name w:val="Normal (Web)"/>
    <w:basedOn w:val="Normalny"/>
    <w:uiPriority w:val="99"/>
    <w:rsid w:val="00967C08"/>
    <w:pPr>
      <w:spacing w:before="150"/>
    </w:pPr>
    <w:rPr>
      <w:rFonts w:ascii="Arial" w:hAnsi="Arial" w:cs="Arial"/>
      <w:color w:val="000000"/>
    </w:rPr>
  </w:style>
  <w:style w:type="paragraph" w:styleId="Tekstprzypisukocowego">
    <w:name w:val="endnote text"/>
    <w:basedOn w:val="Normalny"/>
    <w:semiHidden/>
    <w:rsid w:val="0030482C"/>
    <w:rPr>
      <w:sz w:val="20"/>
      <w:szCs w:val="20"/>
    </w:rPr>
  </w:style>
  <w:style w:type="character" w:styleId="Odwoanieprzypisukocowego">
    <w:name w:val="endnote reference"/>
    <w:semiHidden/>
    <w:rsid w:val="0030482C"/>
    <w:rPr>
      <w:vertAlign w:val="superscript"/>
    </w:rPr>
  </w:style>
  <w:style w:type="character" w:customStyle="1" w:styleId="highlight1">
    <w:name w:val="highlight1"/>
    <w:rsid w:val="009B3853"/>
    <w:rPr>
      <w:b/>
      <w:bCs/>
    </w:rPr>
  </w:style>
  <w:style w:type="character" w:customStyle="1" w:styleId="Teksttreci3">
    <w:name w:val="Tekst treści (3)_"/>
    <w:link w:val="Teksttreci30"/>
    <w:rsid w:val="008A79B3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A79B3"/>
    <w:pPr>
      <w:widowControl w:val="0"/>
      <w:shd w:val="clear" w:color="auto" w:fill="FFFFFF"/>
      <w:spacing w:before="2100" w:line="173" w:lineRule="exact"/>
      <w:jc w:val="center"/>
    </w:pPr>
    <w:rPr>
      <w:rFonts w:ascii="Arial Narrow" w:eastAsia="Arial Narrow" w:hAnsi="Arial Narrow" w:cs="Arial Narrow"/>
      <w:b/>
      <w:bCs/>
      <w:sz w:val="16"/>
      <w:szCs w:val="16"/>
    </w:rPr>
  </w:style>
  <w:style w:type="paragraph" w:styleId="Bezodstpw">
    <w:name w:val="No Spacing"/>
    <w:uiPriority w:val="1"/>
    <w:qFormat/>
    <w:rsid w:val="00D833BB"/>
    <w:pPr>
      <w:overflowPunct w:val="0"/>
      <w:autoSpaceDE w:val="0"/>
      <w:autoSpaceDN w:val="0"/>
      <w:adjustRightInd w:val="0"/>
      <w:jc w:val="both"/>
    </w:pPr>
    <w:rPr>
      <w:rFonts w:ascii="Times New Roman PL" w:hAnsi="Times New Roman PL"/>
      <w:sz w:val="26"/>
    </w:rPr>
  </w:style>
  <w:style w:type="paragraph" w:styleId="Akapitzlist">
    <w:name w:val="List Paragraph"/>
    <w:basedOn w:val="Normalny"/>
    <w:uiPriority w:val="34"/>
    <w:qFormat/>
    <w:rsid w:val="005059AE"/>
    <w:pPr>
      <w:ind w:left="708"/>
    </w:pPr>
  </w:style>
  <w:style w:type="character" w:customStyle="1" w:styleId="Bodytext">
    <w:name w:val="Body text_"/>
    <w:link w:val="Tekstpodstawowy2"/>
    <w:rsid w:val="0018321B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BodytextBold">
    <w:name w:val="Body text + Bold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podstawowy2">
    <w:name w:val="Tekst podstawowy2"/>
    <w:basedOn w:val="Normalny"/>
    <w:link w:val="Bodytext"/>
    <w:rsid w:val="0018321B"/>
    <w:pPr>
      <w:widowControl w:val="0"/>
      <w:shd w:val="clear" w:color="auto" w:fill="FFFFFF"/>
      <w:spacing w:after="360" w:line="0" w:lineRule="atLeast"/>
      <w:ind w:hanging="360"/>
      <w:jc w:val="right"/>
    </w:pPr>
    <w:rPr>
      <w:rFonts w:eastAsia="Calibri" w:cs="Calibri"/>
      <w:sz w:val="21"/>
      <w:szCs w:val="21"/>
    </w:rPr>
  </w:style>
  <w:style w:type="character" w:customStyle="1" w:styleId="Bodytext8">
    <w:name w:val="Body text (8)_"/>
    <w:link w:val="Bodytext80"/>
    <w:rsid w:val="0018321B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18321B"/>
    <w:pPr>
      <w:widowControl w:val="0"/>
      <w:shd w:val="clear" w:color="auto" w:fill="FFFFFF"/>
      <w:spacing w:before="240" w:line="307" w:lineRule="exact"/>
      <w:ind w:hanging="340"/>
      <w:jc w:val="both"/>
    </w:pPr>
    <w:rPr>
      <w:rFonts w:eastAsia="Calibri" w:cs="Calibri"/>
      <w:i/>
      <w:iCs/>
      <w:sz w:val="21"/>
      <w:szCs w:val="21"/>
    </w:rPr>
  </w:style>
  <w:style w:type="character" w:customStyle="1" w:styleId="Headerorfooter">
    <w:name w:val="Header or footer_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Headerorfooter0">
    <w:name w:val="Header or footer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HeaderorfooterNotBold">
    <w:name w:val="Header or footer + Not Bold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Headerorfooter4ptNotBold">
    <w:name w:val="Header or footer + 4 pt;Not Bold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BodytextItalicSmallCaps">
    <w:name w:val="Body text + Italic;Small Caps"/>
    <w:rsid w:val="0018321B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odytext2">
    <w:name w:val="Body text|2_"/>
    <w:link w:val="Bodytext20"/>
    <w:rsid w:val="00534E89"/>
    <w:rPr>
      <w:sz w:val="22"/>
      <w:szCs w:val="22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534E89"/>
    <w:pPr>
      <w:widowControl w:val="0"/>
      <w:shd w:val="clear" w:color="auto" w:fill="FFFFFF"/>
      <w:spacing w:line="379" w:lineRule="exact"/>
    </w:pPr>
    <w:rPr>
      <w:szCs w:val="22"/>
    </w:rPr>
  </w:style>
  <w:style w:type="character" w:customStyle="1" w:styleId="Bodytext10">
    <w:name w:val="Body text|10_"/>
    <w:link w:val="Bodytext100"/>
    <w:rsid w:val="00D12215"/>
    <w:rPr>
      <w:b/>
      <w:bCs/>
      <w:sz w:val="22"/>
      <w:szCs w:val="22"/>
      <w:shd w:val="clear" w:color="auto" w:fill="FFFFFF"/>
    </w:rPr>
  </w:style>
  <w:style w:type="paragraph" w:customStyle="1" w:styleId="Bodytext100">
    <w:name w:val="Body text|10"/>
    <w:basedOn w:val="Normalny"/>
    <w:link w:val="Bodytext10"/>
    <w:rsid w:val="00D12215"/>
    <w:pPr>
      <w:widowControl w:val="0"/>
      <w:shd w:val="clear" w:color="auto" w:fill="FFFFFF"/>
      <w:spacing w:after="140" w:line="244" w:lineRule="exact"/>
      <w:jc w:val="both"/>
    </w:pPr>
    <w:rPr>
      <w:b/>
      <w:bCs/>
      <w:szCs w:val="22"/>
    </w:rPr>
  </w:style>
  <w:style w:type="character" w:customStyle="1" w:styleId="Bodytext3">
    <w:name w:val="Body text|3_"/>
    <w:link w:val="Bodytext30"/>
    <w:rsid w:val="00D12215"/>
    <w:rPr>
      <w:shd w:val="clear" w:color="auto" w:fill="FFFFFF"/>
    </w:rPr>
  </w:style>
  <w:style w:type="paragraph" w:customStyle="1" w:styleId="Bodytext30">
    <w:name w:val="Body text|3"/>
    <w:basedOn w:val="Normalny"/>
    <w:link w:val="Bodytext3"/>
    <w:rsid w:val="00D12215"/>
    <w:pPr>
      <w:widowControl w:val="0"/>
      <w:shd w:val="clear" w:color="auto" w:fill="FFFFFF"/>
      <w:spacing w:after="100" w:line="266" w:lineRule="exact"/>
    </w:pPr>
    <w:rPr>
      <w:sz w:val="20"/>
      <w:szCs w:val="20"/>
    </w:rPr>
  </w:style>
  <w:style w:type="character" w:customStyle="1" w:styleId="tabulatory1">
    <w:name w:val="tabulatory1"/>
    <w:rsid w:val="00D12215"/>
  </w:style>
  <w:style w:type="character" w:customStyle="1" w:styleId="info-list-value-uzasadnienie">
    <w:name w:val="info-list-value-uzasadnienie"/>
    <w:rsid w:val="003D6083"/>
  </w:style>
  <w:style w:type="character" w:customStyle="1" w:styleId="fn-ref">
    <w:name w:val="fn-ref"/>
    <w:rsid w:val="00451FA4"/>
  </w:style>
  <w:style w:type="character" w:customStyle="1" w:styleId="Nagwek1Znak">
    <w:name w:val="Nagłówek 1 Znak"/>
    <w:basedOn w:val="Domylnaczcionkaakapitu"/>
    <w:link w:val="Nagwek1"/>
    <w:rsid w:val="00050247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4508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031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3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3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85037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301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6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70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1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9008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8104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817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1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4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8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2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73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8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19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22584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052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331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5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55464-00A7-4181-94AD-D78C7460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1702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UM</Company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kmajchrzak</dc:creator>
  <cp:keywords/>
  <cp:lastModifiedBy>Wawer Jakub (COP)</cp:lastModifiedBy>
  <cp:revision>11</cp:revision>
  <cp:lastPrinted>2023-02-14T13:53:00Z</cp:lastPrinted>
  <dcterms:created xsi:type="dcterms:W3CDTF">2023-02-14T08:52:00Z</dcterms:created>
  <dcterms:modified xsi:type="dcterms:W3CDTF">2023-02-14T13:53:00Z</dcterms:modified>
</cp:coreProperties>
</file>