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74" w:rsidRDefault="003968A8" w:rsidP="00FE6674">
      <w:pPr>
        <w:jc w:val="center"/>
        <w:rPr>
          <w:rFonts w:cs="Calibri"/>
          <w:b/>
          <w:szCs w:val="22"/>
        </w:rPr>
      </w:pPr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11" w:rsidRDefault="003768ED" w:rsidP="00FE6674">
      <w:pPr>
        <w:jc w:val="right"/>
        <w:rPr>
          <w:rFonts w:cs="Calibri"/>
          <w:b/>
          <w:szCs w:val="22"/>
        </w:rPr>
      </w:pPr>
      <w:r w:rsidRPr="001D4BF6">
        <w:rPr>
          <w:rFonts w:cs="Calibri"/>
          <w:b/>
          <w:szCs w:val="22"/>
        </w:rPr>
        <w:t>Warszawa</w:t>
      </w:r>
      <w:r w:rsidR="00C00411">
        <w:rPr>
          <w:rFonts w:cs="Calibri"/>
          <w:b/>
          <w:szCs w:val="22"/>
        </w:rPr>
        <w:t>,</w:t>
      </w:r>
      <w:r w:rsidRPr="001D4BF6">
        <w:rPr>
          <w:rFonts w:cs="Calibri"/>
          <w:b/>
          <w:szCs w:val="22"/>
        </w:rPr>
        <w:t xml:space="preserve"> </w:t>
      </w:r>
      <w:r w:rsidR="00C051D8">
        <w:rPr>
          <w:rFonts w:cs="Calibri"/>
          <w:b/>
          <w:szCs w:val="22"/>
        </w:rPr>
        <w:t>27-01-2022</w:t>
      </w:r>
      <w:r w:rsidR="00FE6674">
        <w:rPr>
          <w:rFonts w:cs="Calibri"/>
          <w:b/>
          <w:szCs w:val="22"/>
        </w:rPr>
        <w:t xml:space="preserve"> r.</w:t>
      </w:r>
    </w:p>
    <w:p w:rsidR="003768ED" w:rsidRPr="001D4BF6" w:rsidRDefault="003768ED" w:rsidP="003768ED">
      <w:pPr>
        <w:rPr>
          <w:rFonts w:cs="Calibri"/>
          <w:b/>
          <w:szCs w:val="22"/>
        </w:rPr>
      </w:pPr>
      <w:r w:rsidRPr="001D4BF6">
        <w:rPr>
          <w:rFonts w:cs="Calibri"/>
          <w:b/>
          <w:szCs w:val="22"/>
        </w:rPr>
        <w:t>COP-13.310.</w:t>
      </w:r>
      <w:r>
        <w:rPr>
          <w:rFonts w:cs="Calibri"/>
          <w:b/>
          <w:szCs w:val="22"/>
        </w:rPr>
        <w:t>21</w:t>
      </w:r>
      <w:r w:rsidRPr="001D4BF6">
        <w:rPr>
          <w:rFonts w:cs="Calibri"/>
          <w:b/>
          <w:szCs w:val="22"/>
        </w:rPr>
        <w:t>.2021.GWA</w:t>
      </w:r>
    </w:p>
    <w:p w:rsidR="003768ED" w:rsidRPr="001D4BF6" w:rsidRDefault="00C051D8" w:rsidP="003768ED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COP-13/31101/416/GW/22</w:t>
      </w:r>
    </w:p>
    <w:p w:rsidR="003768ED" w:rsidRPr="00E06293" w:rsidRDefault="00C00411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>(…)</w:t>
      </w:r>
      <w:r w:rsidR="005F3A40" w:rsidRPr="00E06293">
        <w:rPr>
          <w:rFonts w:cs="Calibri"/>
          <w:szCs w:val="22"/>
        </w:rPr>
        <w:t xml:space="preserve"> </w:t>
      </w:r>
      <w:r w:rsidR="003768ED" w:rsidRPr="00E06293">
        <w:rPr>
          <w:rFonts w:cs="Calibri"/>
          <w:szCs w:val="22"/>
        </w:rPr>
        <w:t>Spółka Akcyjna</w:t>
      </w:r>
    </w:p>
    <w:p w:rsidR="00C00411" w:rsidRPr="00E06293" w:rsidRDefault="00C00411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>Ul. (…)</w:t>
      </w:r>
    </w:p>
    <w:p w:rsidR="003768ED" w:rsidRPr="00E06293" w:rsidRDefault="003768ED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 xml:space="preserve">NIP </w:t>
      </w:r>
      <w:r w:rsidR="00C00411" w:rsidRPr="00E06293">
        <w:rPr>
          <w:rFonts w:cs="Calibri"/>
          <w:szCs w:val="22"/>
        </w:rPr>
        <w:t>(…)</w:t>
      </w:r>
    </w:p>
    <w:p w:rsidR="003768ED" w:rsidRPr="00E06293" w:rsidRDefault="003768ED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>Reprezentowany przez:</w:t>
      </w:r>
    </w:p>
    <w:p w:rsidR="00C00411" w:rsidRPr="00E06293" w:rsidRDefault="003768ED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 xml:space="preserve">Pana </w:t>
      </w:r>
      <w:r w:rsidR="00C00411" w:rsidRPr="00E06293">
        <w:rPr>
          <w:rFonts w:cs="Calibri"/>
          <w:szCs w:val="22"/>
        </w:rPr>
        <w:t>(…)</w:t>
      </w:r>
    </w:p>
    <w:p w:rsidR="003768ED" w:rsidRPr="00E06293" w:rsidRDefault="003768ED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 xml:space="preserve">Adres do doręczeń: </w:t>
      </w:r>
    </w:p>
    <w:p w:rsidR="003768ED" w:rsidRPr="00E06293" w:rsidRDefault="005F3A40" w:rsidP="007C27F6">
      <w:pPr>
        <w:ind w:left="5670" w:firstLine="3"/>
        <w:rPr>
          <w:rFonts w:cs="Calibri"/>
          <w:szCs w:val="22"/>
        </w:rPr>
      </w:pPr>
      <w:r w:rsidRPr="00E06293">
        <w:rPr>
          <w:rFonts w:cs="Calibri"/>
          <w:szCs w:val="22"/>
        </w:rPr>
        <w:t xml:space="preserve">(…) </w:t>
      </w:r>
      <w:r w:rsidR="003768ED" w:rsidRPr="00E06293">
        <w:rPr>
          <w:rFonts w:cs="Calibri"/>
          <w:szCs w:val="22"/>
        </w:rPr>
        <w:t>Spółka Akcyjna</w:t>
      </w:r>
    </w:p>
    <w:p w:rsidR="003768ED" w:rsidRPr="00E06293" w:rsidRDefault="003768ED" w:rsidP="007C27F6">
      <w:pPr>
        <w:ind w:left="5670"/>
        <w:rPr>
          <w:rFonts w:cs="Calibri"/>
          <w:szCs w:val="22"/>
        </w:rPr>
      </w:pPr>
      <w:r w:rsidRPr="00E06293">
        <w:rPr>
          <w:rFonts w:cs="Calibri"/>
          <w:szCs w:val="22"/>
        </w:rPr>
        <w:t xml:space="preserve">Ul. </w:t>
      </w:r>
      <w:r w:rsidR="005F3A40" w:rsidRPr="00E06293">
        <w:rPr>
          <w:rFonts w:cs="Calibri"/>
          <w:szCs w:val="22"/>
        </w:rPr>
        <w:t>(…)</w:t>
      </w:r>
    </w:p>
    <w:p w:rsidR="00384140" w:rsidRPr="00F2470C" w:rsidRDefault="00384140" w:rsidP="00384140">
      <w:pPr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</w:t>
      </w:r>
      <w:r w:rsidR="005F3A40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U.</w:t>
      </w:r>
      <w:r w:rsidR="005F3A40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z</w:t>
      </w:r>
      <w:r w:rsidR="005F3A40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66467D">
        <w:rPr>
          <w:rFonts w:cs="Calibri"/>
          <w:szCs w:val="22"/>
        </w:rPr>
        <w:t>, z późn.</w:t>
      </w:r>
      <w:r w:rsidR="003768ED">
        <w:rPr>
          <w:rFonts w:cs="Calibri"/>
          <w:szCs w:val="22"/>
        </w:rPr>
        <w:t xml:space="preserve"> zm.</w:t>
      </w:r>
      <w:r w:rsidR="0066467D">
        <w:rPr>
          <w:rFonts w:cs="Calibri"/>
          <w:szCs w:val="22"/>
        </w:rPr>
        <w:t>)</w:t>
      </w:r>
    </w:p>
    <w:p w:rsidR="00384140" w:rsidRPr="005F3A40" w:rsidRDefault="005F3A40" w:rsidP="005F3A40">
      <w:pPr>
        <w:pStyle w:val="Nagwek1"/>
      </w:pPr>
      <w:r w:rsidRPr="005F3A40">
        <w:t>po rozpatrzeniu</w:t>
      </w:r>
    </w:p>
    <w:p w:rsidR="00C70A98" w:rsidRDefault="00384140" w:rsidP="00ED0DAF">
      <w:pPr>
        <w:pStyle w:val="Tekstpodstawowy"/>
        <w:jc w:val="left"/>
        <w:rPr>
          <w:rFonts w:cs="Calibri"/>
          <w:szCs w:val="22"/>
        </w:rPr>
      </w:pPr>
      <w:r w:rsidRPr="00384140">
        <w:rPr>
          <w:rFonts w:cs="Calibri"/>
          <w:szCs w:val="22"/>
        </w:rPr>
        <w:t>wniosku</w:t>
      </w:r>
      <w:r w:rsidR="005F3A40">
        <w:rPr>
          <w:rFonts w:cs="Calibri"/>
          <w:szCs w:val="22"/>
        </w:rPr>
        <w:t xml:space="preserve"> (…)</w:t>
      </w:r>
      <w:r w:rsidR="003768ED">
        <w:rPr>
          <w:rFonts w:cs="Calibri"/>
          <w:szCs w:val="22"/>
        </w:rPr>
        <w:t xml:space="preserve"> Spółka Akcyjna z siedzibą w </w:t>
      </w:r>
      <w:r w:rsidR="005F3A40">
        <w:rPr>
          <w:rFonts w:cs="Calibri"/>
          <w:szCs w:val="22"/>
        </w:rPr>
        <w:t>(…)</w:t>
      </w:r>
      <w:r w:rsidR="003768ED">
        <w:rPr>
          <w:rFonts w:cs="Calibri"/>
          <w:szCs w:val="22"/>
        </w:rPr>
        <w:t xml:space="preserve"> przy ulicy </w:t>
      </w:r>
      <w:r w:rsidR="005F3A40">
        <w:rPr>
          <w:rFonts w:cs="Calibri"/>
          <w:szCs w:val="22"/>
        </w:rPr>
        <w:t>(…)</w:t>
      </w:r>
      <w:r w:rsidR="003768ED">
        <w:rPr>
          <w:rFonts w:cs="Calibri"/>
          <w:szCs w:val="22"/>
        </w:rPr>
        <w:t xml:space="preserve"> </w:t>
      </w:r>
      <w:r w:rsidRPr="00384140">
        <w:rPr>
          <w:rFonts w:cs="Calibri"/>
          <w:szCs w:val="22"/>
        </w:rPr>
        <w:t xml:space="preserve">z dnia </w:t>
      </w:r>
      <w:r w:rsidR="003768ED">
        <w:rPr>
          <w:rFonts w:cs="Calibri"/>
          <w:szCs w:val="22"/>
        </w:rPr>
        <w:t>22</w:t>
      </w:r>
      <w:r w:rsidR="00C70A98">
        <w:rPr>
          <w:rFonts w:cs="Calibri"/>
          <w:szCs w:val="22"/>
        </w:rPr>
        <w:t xml:space="preserve"> października </w:t>
      </w:r>
      <w:r>
        <w:rPr>
          <w:rFonts w:cs="Calibri"/>
          <w:szCs w:val="22"/>
        </w:rPr>
        <w:t xml:space="preserve">2021 r. (data wpływu do organu podatkowego w dniu </w:t>
      </w:r>
      <w:r w:rsidR="00C70A98">
        <w:rPr>
          <w:rFonts w:cs="Calibri"/>
          <w:szCs w:val="22"/>
        </w:rPr>
        <w:t>2</w:t>
      </w:r>
      <w:r w:rsidR="003768ED">
        <w:rPr>
          <w:rFonts w:cs="Calibri"/>
          <w:szCs w:val="22"/>
        </w:rPr>
        <w:t xml:space="preserve">8 października </w:t>
      </w:r>
      <w:r>
        <w:rPr>
          <w:rFonts w:cs="Calibri"/>
          <w:szCs w:val="22"/>
        </w:rPr>
        <w:t>2021 r</w:t>
      </w:r>
      <w:r w:rsidR="00BB3D4B">
        <w:rPr>
          <w:rFonts w:cs="Calibri"/>
          <w:szCs w:val="22"/>
        </w:rPr>
        <w:t>.</w:t>
      </w:r>
      <w:r>
        <w:rPr>
          <w:rFonts w:cs="Calibri"/>
          <w:szCs w:val="22"/>
        </w:rPr>
        <w:t xml:space="preserve">) w sprawie udzielenia indywidualnej interpretacji przepisów prawa podatkowego w zakresie </w:t>
      </w:r>
      <w:r w:rsidR="003768ED">
        <w:rPr>
          <w:rFonts w:cs="Calibri"/>
          <w:szCs w:val="22"/>
        </w:rPr>
        <w:t>opodatkowania podatkiem od nieruchomości</w:t>
      </w:r>
      <w:r w:rsidR="007755CA">
        <w:rPr>
          <w:rFonts w:cs="Calibri"/>
          <w:szCs w:val="22"/>
        </w:rPr>
        <w:t xml:space="preserve"> </w:t>
      </w:r>
      <w:r w:rsidR="003768ED">
        <w:rPr>
          <w:rFonts w:cs="Calibri"/>
          <w:szCs w:val="22"/>
        </w:rPr>
        <w:t>automatu paczkowego</w:t>
      </w:r>
      <w:r w:rsidR="00300AEA">
        <w:rPr>
          <w:rFonts w:cs="Calibri"/>
          <w:szCs w:val="22"/>
        </w:rPr>
        <w:t>, uzupełnionego pismami z dnia 15 listopada 2021 roku oraz 29 listopada 2021 roku</w:t>
      </w:r>
    </w:p>
    <w:p w:rsidR="00534E89" w:rsidRPr="00534E89" w:rsidRDefault="00534E89" w:rsidP="005F3A40">
      <w:pPr>
        <w:pStyle w:val="Nagwek1"/>
      </w:pPr>
      <w:r w:rsidRPr="00534E89">
        <w:t xml:space="preserve">postanawiam </w:t>
      </w:r>
    </w:p>
    <w:p w:rsidR="00534E89" w:rsidRPr="00534E89" w:rsidRDefault="00534E89" w:rsidP="00ED0DAF">
      <w:pPr>
        <w:pStyle w:val="Tekstpodstawowy"/>
        <w:jc w:val="left"/>
        <w:rPr>
          <w:rFonts w:cs="Calibri"/>
          <w:szCs w:val="22"/>
        </w:rPr>
      </w:pPr>
      <w:r w:rsidRPr="00534E89">
        <w:rPr>
          <w:rFonts w:cs="Calibri"/>
          <w:szCs w:val="22"/>
        </w:rPr>
        <w:t>uzna</w:t>
      </w:r>
      <w:r>
        <w:rPr>
          <w:rFonts w:cs="Calibri"/>
          <w:szCs w:val="22"/>
        </w:rPr>
        <w:t>ć</w:t>
      </w:r>
      <w:r w:rsidRPr="00534E89">
        <w:rPr>
          <w:rFonts w:cs="Calibri"/>
          <w:szCs w:val="22"/>
        </w:rPr>
        <w:t xml:space="preserve"> stanowisko</w:t>
      </w:r>
      <w:r>
        <w:rPr>
          <w:rFonts w:cs="Calibri"/>
          <w:szCs w:val="22"/>
        </w:rPr>
        <w:t xml:space="preserve"> przedstawione we wniosku o udzielenie indywidualnej interpretacji podatkowej za</w:t>
      </w:r>
      <w:r w:rsidR="00810B7A">
        <w:rPr>
          <w:rFonts w:cs="Calibri"/>
          <w:szCs w:val="22"/>
        </w:rPr>
        <w:t> </w:t>
      </w:r>
      <w:r>
        <w:rPr>
          <w:rFonts w:cs="Calibri"/>
          <w:szCs w:val="22"/>
        </w:rPr>
        <w:t>prawidłowe w obowiązującym stanie prawnym.</w:t>
      </w:r>
    </w:p>
    <w:p w:rsidR="00017F2C" w:rsidRDefault="00077D21" w:rsidP="005F3A40">
      <w:pPr>
        <w:pStyle w:val="Nagwek1"/>
      </w:pPr>
      <w:r>
        <w:lastRenderedPageBreak/>
        <w:t>S</w:t>
      </w:r>
      <w:r w:rsidR="00017F2C" w:rsidRPr="00D235D9">
        <w:t>tan faktyczny</w:t>
      </w:r>
      <w:r w:rsidR="00D12215">
        <w:t xml:space="preserve"> / zdarzenie przyszłe przedstawione we wniosku </w:t>
      </w:r>
    </w:p>
    <w:p w:rsidR="001747CA" w:rsidRDefault="00534E89" w:rsidP="005F3A40">
      <w:r w:rsidRPr="00CA7AC1">
        <w:t>Z opisanego we wniosku o wydanie indywidualnej interpretacji przepisów prawa</w:t>
      </w:r>
      <w:r w:rsidR="000A6723" w:rsidRPr="00CA7AC1">
        <w:t xml:space="preserve"> </w:t>
      </w:r>
      <w:r w:rsidRPr="00CA7AC1">
        <w:t>podatkowego stanu faktycznego (dalej jako „wniosek”) wynika,</w:t>
      </w:r>
      <w:r w:rsidR="00C70A98">
        <w:t xml:space="preserve"> iż</w:t>
      </w:r>
      <w:r w:rsidRPr="00CA7AC1">
        <w:t xml:space="preserve"> </w:t>
      </w:r>
      <w:r w:rsidR="00810B7A">
        <w:t>(…)</w:t>
      </w:r>
      <w:r w:rsidR="003768ED">
        <w:t xml:space="preserve"> S.A. </w:t>
      </w:r>
      <w:r w:rsidR="001747CA">
        <w:t>(dalej jako „Wnioskodawca”</w:t>
      </w:r>
      <w:r w:rsidR="0066467D">
        <w:t xml:space="preserve"> albo „Spółka”</w:t>
      </w:r>
      <w:r w:rsidR="001747CA">
        <w:t xml:space="preserve">) </w:t>
      </w:r>
      <w:r w:rsidR="003768ED">
        <w:t xml:space="preserve">na dzierżawionym od innej spółki kapitałowej gruncie położonym na terenie m.st. Warszawy posadowił automat przechowujący przesyłki (dalej jako „automat paczkowy”). Urządzenie to posadowione jest na kostce brukowej i wyposażone w platformę </w:t>
      </w:r>
      <w:r w:rsidR="00300AEA">
        <w:t xml:space="preserve">dociążającą maszynę, która przesuwa jej środek ciężkości, powodując tym samym brak konieczności </w:t>
      </w:r>
      <w:proofErr w:type="spellStart"/>
      <w:r w:rsidR="00300AEA">
        <w:t>kotwienia</w:t>
      </w:r>
      <w:proofErr w:type="spellEnd"/>
      <w:r w:rsidR="00300AEA">
        <w:t xml:space="preserve"> automatu paczkowego do podłoża. Wysokość automatu paczkowego nie przekracza 3 metrów, ponadto automat ten jest zasilany w energię elektryczną poprzez przewód ułożony w podłożu, prowadzony od rozdzielni znajdującej się wewnątrz </w:t>
      </w:r>
      <w:r w:rsidR="001747CA">
        <w:t>pobliskiego budynku do automatu paczkowego. Automat paczkowy nie został wybudowany z wyrobów budowlanych w miejscu jego posadowienia, ale wyprodukowano go w fabryce takich urządzeń, przywieziono na miejsce jego posadowienia, posadowiono we wspomniany wyżej sposób na kostce brukowej oraz podłączono do źródła zasilania. Przedmiotowy automat paczkowy stanowi własność Wnioskodawcy, który w każdej chwili może go przenieść do innej lokalizacji lub sprzedać.</w:t>
      </w:r>
    </w:p>
    <w:p w:rsidR="001C438C" w:rsidRPr="00810B7A" w:rsidRDefault="001747CA" w:rsidP="005F3A40">
      <w:r>
        <w:t xml:space="preserve">W piśmie z dnia 15 listopada 2021 roku, stanowiącym odpowiedź na wezwanie organu podatkowego z dnia 2 listopada 2021 roku, Wnioskodawca wskazał, iż </w:t>
      </w:r>
      <w:r w:rsidRPr="00810B7A">
        <w:t>„Przedmiot wniosku (automat paczkowy) nie</w:t>
      </w:r>
      <w:r w:rsidR="00810B7A">
        <w:t> </w:t>
      </w:r>
      <w:r w:rsidRPr="00810B7A">
        <w:t xml:space="preserve">został wybudowany z wyrobów budowlanych. Został on wyprodukowany w fabryce takich urządzeń”. Natomiast w piśmie z dnia 29 listopada 2021 roku, stanowiącym odpowiedź na wezwanie z dnia 16 listopada 2021 roku, Wnioskodawca wskazał między innymi, iż przedmiot wniosku (automat paczkowy) „(…) został wyprodukowany w fabryce takich urządzeń </w:t>
      </w:r>
      <w:r w:rsidRPr="00810B7A">
        <w:rPr>
          <w:b/>
        </w:rPr>
        <w:t>generalnie bez użycia wyrobów budowlanych.</w:t>
      </w:r>
      <w:r w:rsidRPr="00810B7A">
        <w:t xml:space="preserve"> Spośród bowiem wyrobów budowlanych wskazanych w Rozporządzeniu Parlamentu Europejskiego i Rady (…) ustanawiającym zharmonizowane </w:t>
      </w:r>
      <w:r w:rsidR="001C438C" w:rsidRPr="00810B7A">
        <w:t>warunki wprowadzenia do obrotu wyrobów budowlanych i uchylającym dyrektywę Rady 89/106/EWA z dnia 9 marca 2011 r. (…), do</w:t>
      </w:r>
      <w:r w:rsidR="00810B7A">
        <w:t> </w:t>
      </w:r>
      <w:r w:rsidR="001C438C" w:rsidRPr="00810B7A">
        <w:t>którego to rozporządzenia wprost odsyła definicja wyrobu budowlanego zawarta w ustawie z dnia 16 kwietnia 2004 r. o wyrobach budowlanych (…), w skład automatu paczkowego wchodzą jedynie kable zasilania, ale są one niezbędną częścią każdego urządzenia zasilanego prądem elektrycznym (a</w:t>
      </w:r>
      <w:r w:rsidR="00810B7A">
        <w:t> </w:t>
      </w:r>
      <w:r w:rsidR="001C438C" w:rsidRPr="00810B7A">
        <w:t>więc także żelazka, suszarki do włosów, itp.) (…)”.</w:t>
      </w:r>
    </w:p>
    <w:p w:rsidR="00D12215" w:rsidRPr="00CA7AC1" w:rsidRDefault="001C438C" w:rsidP="005F3A40">
      <w:pPr>
        <w:rPr>
          <w:szCs w:val="22"/>
          <w:lang w:bidi="pl-PL"/>
        </w:rPr>
      </w:pPr>
      <w:r>
        <w:rPr>
          <w:szCs w:val="22"/>
          <w:lang w:bidi="pl-PL"/>
        </w:rPr>
        <w:t>W</w:t>
      </w:r>
      <w:r w:rsidR="00D12215" w:rsidRPr="00CA7AC1">
        <w:rPr>
          <w:szCs w:val="22"/>
          <w:lang w:bidi="pl-PL"/>
        </w:rPr>
        <w:t xml:space="preserve"> świetle tak opisanego s</w:t>
      </w:r>
      <w:r w:rsidR="003E47BA">
        <w:rPr>
          <w:szCs w:val="22"/>
          <w:lang w:bidi="pl-PL"/>
        </w:rPr>
        <w:t>tanu faktycznego sprawy, pytanie</w:t>
      </w:r>
      <w:r w:rsidR="00013B30">
        <w:rPr>
          <w:szCs w:val="22"/>
          <w:lang w:bidi="pl-PL"/>
        </w:rPr>
        <w:t xml:space="preserve"> Wnioskodawcy brzmi:</w:t>
      </w:r>
      <w:r w:rsidR="00D12215" w:rsidRPr="00CA7AC1">
        <w:rPr>
          <w:szCs w:val="22"/>
          <w:lang w:bidi="pl-PL"/>
        </w:rPr>
        <w:t xml:space="preserve"> </w:t>
      </w:r>
    </w:p>
    <w:p w:rsidR="00D12215" w:rsidRPr="005F3A40" w:rsidRDefault="00013B30" w:rsidP="005F3A40">
      <w:pPr>
        <w:rPr>
          <w:szCs w:val="22"/>
          <w:lang w:bidi="pl-PL"/>
        </w:rPr>
      </w:pPr>
      <w:bookmarkStart w:id="0" w:name="_GoBack"/>
      <w:bookmarkEnd w:id="0"/>
      <w:r w:rsidRPr="005F3A40">
        <w:rPr>
          <w:szCs w:val="22"/>
          <w:lang w:bidi="pl-PL"/>
        </w:rPr>
        <w:t>„Czy opisany powyżej automat paczkowy podlega opodatkowaniu podatkiem od nieruchomości?”.</w:t>
      </w:r>
    </w:p>
    <w:p w:rsidR="00D12215" w:rsidRDefault="00077D21" w:rsidP="005F3A40">
      <w:pPr>
        <w:pStyle w:val="Nagwek1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C70A98" w:rsidRDefault="007755CA" w:rsidP="00810B7A">
      <w:pPr>
        <w:rPr>
          <w:rFonts w:cs="Calibri"/>
          <w:szCs w:val="22"/>
        </w:rPr>
      </w:pPr>
      <w:r>
        <w:rPr>
          <w:lang w:bidi="pl-PL"/>
        </w:rPr>
        <w:t xml:space="preserve">Zdaniem Wnioskodawcy, zawartym w złożonym wniosku, „(…) </w:t>
      </w:r>
      <w:r w:rsidR="001C438C">
        <w:rPr>
          <w:lang w:bidi="pl-PL"/>
        </w:rPr>
        <w:t>automat paczkowy nie podlega opodatkowaniu podatkiem od nieruchomości</w:t>
      </w:r>
      <w:r>
        <w:rPr>
          <w:lang w:bidi="pl-PL"/>
        </w:rPr>
        <w:t xml:space="preserve"> (…)”.</w:t>
      </w:r>
    </w:p>
    <w:p w:rsidR="007755CA" w:rsidRDefault="007755CA" w:rsidP="00810B7A">
      <w:pPr>
        <w:pStyle w:val="Nagwek1"/>
      </w:pPr>
      <w:r w:rsidRPr="00CA7AC1">
        <w:lastRenderedPageBreak/>
        <w:t>Ocena stanowiska Wnioskodawcy wraz z uzasadnieniem prawnym</w:t>
      </w:r>
    </w:p>
    <w:p w:rsidR="007755CA" w:rsidRDefault="007755CA" w:rsidP="005F3A40">
      <w:r>
        <w:t>Na podstawie stanu faktycznego, opisanego we wniosku, p</w:t>
      </w:r>
      <w:r w:rsidRPr="006E3DF1">
        <w:t xml:space="preserve">ostanawiam uznać stanowisko </w:t>
      </w:r>
      <w:r>
        <w:t>W</w:t>
      </w:r>
      <w:r w:rsidRPr="006E3DF1">
        <w:t xml:space="preserve">nioskodawcy </w:t>
      </w:r>
      <w:r>
        <w:t>za prawidłowe w obowiązującym stanie prawnym.</w:t>
      </w:r>
    </w:p>
    <w:p w:rsidR="001C438C" w:rsidRDefault="001C438C" w:rsidP="005F3A40">
      <w:r w:rsidRPr="00E85B45">
        <w:t>Organ wydając</w:t>
      </w:r>
      <w:r>
        <w:t>y interpretację indywidualną</w:t>
      </w:r>
      <w:r w:rsidRPr="00E85B45">
        <w:t xml:space="preserve"> związany jest okolicznościami faktycznymi wynikającymi ze stanu faktycznego/zdarzenia przyszłego przedstawionego we wniosku</w:t>
      </w:r>
      <w:r>
        <w:t xml:space="preserve"> (w</w:t>
      </w:r>
      <w:r w:rsidRPr="00E85B45">
        <w:t>yrok</w:t>
      </w:r>
      <w:r>
        <w:t xml:space="preserve"> </w:t>
      </w:r>
      <w:r w:rsidRPr="00E85B45">
        <w:t>Wojewódzkiego Sądu Administracyjnego w Szczecinie</w:t>
      </w:r>
      <w:r>
        <w:t xml:space="preserve"> </w:t>
      </w:r>
      <w:r w:rsidRPr="00E85B45">
        <w:t>z dnia 27 maja 2021 r.</w:t>
      </w:r>
      <w:r>
        <w:t xml:space="preserve">, sygn. akt </w:t>
      </w:r>
      <w:r w:rsidRPr="00E85B45">
        <w:t>I SA/Sz 271/21</w:t>
      </w:r>
      <w:r>
        <w:t>, wyrok dostępny w Centralnej Bazie Orzeczeń Sądów Administracyjnych; CBOSA).</w:t>
      </w:r>
    </w:p>
    <w:p w:rsidR="001C438C" w:rsidRDefault="001C438C" w:rsidP="005F3A40">
      <w:r>
        <w:t>Jak już wspomniano</w:t>
      </w:r>
      <w:r w:rsidR="0066467D">
        <w:t>,</w:t>
      </w:r>
      <w:r>
        <w:t xml:space="preserve"> w opisie stanu faktycznego, Spółka wskazała, że </w:t>
      </w:r>
      <w:r w:rsidR="00554579">
        <w:t xml:space="preserve">automat </w:t>
      </w:r>
      <w:r>
        <w:t>paczko</w:t>
      </w:r>
      <w:r w:rsidR="00554579">
        <w:t>wy</w:t>
      </w:r>
      <w:r>
        <w:t xml:space="preserve"> będący przedmiotem zapytania został wyprodukowany </w:t>
      </w:r>
      <w:r w:rsidRPr="00810B7A">
        <w:t>„generalnie bez użycia wyrobów budowlanych”.</w:t>
      </w:r>
    </w:p>
    <w:p w:rsidR="001C438C" w:rsidRDefault="001C438C" w:rsidP="005F3A40">
      <w:r>
        <w:t>Tak zakreślonym stanem faktycznym o</w:t>
      </w:r>
      <w:r w:rsidRPr="00E85B45">
        <w:t>rgan wydając</w:t>
      </w:r>
      <w:r>
        <w:t>y interpretację indywidualną jest</w:t>
      </w:r>
      <w:r w:rsidRPr="00E85B45">
        <w:t xml:space="preserve"> związany</w:t>
      </w:r>
      <w:r>
        <w:t xml:space="preserve"> nawet jeżeli stwierdzenie, że jedynym wyrobem budowlanym, który został użyty przy produkcji </w:t>
      </w:r>
      <w:r w:rsidR="00554579">
        <w:t>automatu paczkowego</w:t>
      </w:r>
      <w:r>
        <w:t xml:space="preserve"> są kable zasilania, nie odpowiadało rzeczywistości.</w:t>
      </w:r>
    </w:p>
    <w:p w:rsidR="001C438C" w:rsidRPr="00910D0E" w:rsidRDefault="001C438C" w:rsidP="005F3A40">
      <w:r>
        <w:t xml:space="preserve">Zgodnie z przepisem art. 2 ust. 1 </w:t>
      </w:r>
      <w:r w:rsidR="006B3C8D">
        <w:t>ustawy z dnia 12 stycznia 1991 roku o podatkach i opłatac</w:t>
      </w:r>
      <w:r w:rsidR="0066467D">
        <w:t>h lokalnych (Dz. U. z 2019 r.</w:t>
      </w:r>
      <w:r w:rsidR="006B3C8D">
        <w:t xml:space="preserve"> poz. 1170</w:t>
      </w:r>
      <w:r w:rsidR="0066467D">
        <w:t>, z późn.</w:t>
      </w:r>
      <w:r w:rsidR="006B3C8D">
        <w:t xml:space="preserve"> zm.; dalej jako upol),</w:t>
      </w:r>
      <w:r>
        <w:t xml:space="preserve"> opodatkowaniu podatkiem od</w:t>
      </w:r>
      <w:r w:rsidR="00810B7A">
        <w:t> </w:t>
      </w:r>
      <w:r>
        <w:t xml:space="preserve"> nieruchomości podlegają: </w:t>
      </w:r>
    </w:p>
    <w:p w:rsidR="001C438C" w:rsidRPr="00910D0E" w:rsidRDefault="001C438C" w:rsidP="00810B7A">
      <w:pPr>
        <w:pStyle w:val="Akapitzlist"/>
        <w:numPr>
          <w:ilvl w:val="0"/>
          <w:numId w:val="12"/>
        </w:numPr>
      </w:pPr>
      <w:r w:rsidRPr="00910D0E">
        <w:t>grunty;</w:t>
      </w:r>
    </w:p>
    <w:p w:rsidR="001C438C" w:rsidRPr="00910D0E" w:rsidRDefault="001C438C" w:rsidP="00810B7A">
      <w:pPr>
        <w:pStyle w:val="Akapitzlist"/>
        <w:numPr>
          <w:ilvl w:val="0"/>
          <w:numId w:val="12"/>
        </w:numPr>
      </w:pPr>
      <w:r w:rsidRPr="00910D0E">
        <w:t>budynki lub ich części;</w:t>
      </w:r>
    </w:p>
    <w:p w:rsidR="001C438C" w:rsidRDefault="001C438C" w:rsidP="00810B7A">
      <w:pPr>
        <w:pStyle w:val="Akapitzlist"/>
        <w:numPr>
          <w:ilvl w:val="0"/>
          <w:numId w:val="12"/>
        </w:numPr>
      </w:pPr>
      <w:r w:rsidRPr="00910D0E">
        <w:t>budowle lub ich części związane z prowadzeniem działalności gospodarczej.</w:t>
      </w:r>
    </w:p>
    <w:p w:rsidR="001C438C" w:rsidRDefault="001C438C" w:rsidP="005F3A40">
      <w:r>
        <w:t xml:space="preserve">Zgodnie z przepisem art. 1a ust. 1 pkt 1 upol, budynkiem w świetle przepisów tej ustawy jest </w:t>
      </w:r>
      <w:r w:rsidRPr="00910D0E">
        <w:t>obiekt budowlany w rozumieniu przepisów prawa budowlanego, który jest trwale związany z gruntem, wydzielony z przestrzeni za pomocą przegród budowlanych</w:t>
      </w:r>
      <w:r>
        <w:t xml:space="preserve"> oraz posiada fundamenty i dach.</w:t>
      </w:r>
    </w:p>
    <w:p w:rsidR="001C438C" w:rsidRDefault="00554579" w:rsidP="005F3A40">
      <w:r>
        <w:t xml:space="preserve">Automat paczkowy </w:t>
      </w:r>
      <w:r w:rsidR="001C438C">
        <w:t xml:space="preserve">nie spełnia definicji budynku z przepisu art. 1a ust. 1 pkt 1 upol choćby dlatego, że nie jest trwale związany z gruntem i nie posiada fundamentów. </w:t>
      </w:r>
      <w:r>
        <w:t>Automat paczkowy</w:t>
      </w:r>
      <w:r w:rsidR="001C438C">
        <w:t xml:space="preserve"> nie podlega zatem opodatkowaniu podatkiem od nieruchomości na podstawie przepisu art. 2 ust. 1 pkt 2 upol.</w:t>
      </w:r>
    </w:p>
    <w:p w:rsidR="001C438C" w:rsidRDefault="001C438C" w:rsidP="005F3A40">
      <w:r>
        <w:t>Zgodnie z przepisem art. 1a ust. 1 pkt 2 upol, budowlą w świetle przepisów tej ustawy jest:</w:t>
      </w:r>
    </w:p>
    <w:p w:rsidR="001C438C" w:rsidRDefault="001C438C" w:rsidP="00810B7A">
      <w:pPr>
        <w:pStyle w:val="Akapitzlist"/>
        <w:numPr>
          <w:ilvl w:val="0"/>
          <w:numId w:val="14"/>
        </w:numPr>
      </w:pPr>
      <w:r w:rsidRPr="00910D0E">
        <w:t xml:space="preserve">obiekt budowlany w rozumieniu przepisów prawa budowlanego niebędący budynkiem lub </w:t>
      </w:r>
      <w:r>
        <w:t xml:space="preserve">obiektem małej architektury </w:t>
      </w:r>
    </w:p>
    <w:p w:rsidR="001C438C" w:rsidRDefault="001C438C" w:rsidP="005F3A40">
      <w:r>
        <w:t>albo</w:t>
      </w:r>
    </w:p>
    <w:p w:rsidR="001C438C" w:rsidRDefault="001C438C" w:rsidP="00810B7A">
      <w:pPr>
        <w:pStyle w:val="Akapitzlist"/>
        <w:numPr>
          <w:ilvl w:val="0"/>
          <w:numId w:val="14"/>
        </w:numPr>
      </w:pPr>
      <w:r w:rsidRPr="00910D0E">
        <w:lastRenderedPageBreak/>
        <w:t>urządzenie budowlane w rozumieniu przepisów prawa budowlanego związane z obiektem budowlanym, które zapewnia możliwość użytkowania obiekt</w:t>
      </w:r>
      <w:r>
        <w:t>u zgodnie z jego przeznaczeniem.</w:t>
      </w:r>
    </w:p>
    <w:p w:rsidR="001C438C" w:rsidRDefault="00554579" w:rsidP="005F3A40">
      <w:r>
        <w:t>Automat paczkowy</w:t>
      </w:r>
      <w:r w:rsidR="00F34F7D">
        <w:t>, będący przedmiotem wniosku,</w:t>
      </w:r>
      <w:r w:rsidR="001C438C">
        <w:t xml:space="preserve"> nie podlega opodatkowaniu podatkiem od nieruchomości jako </w:t>
      </w:r>
      <w:r w:rsidR="001C438C" w:rsidRPr="00910D0E">
        <w:t>urządzenie budowlane w rozumieniu przepisów prawa budowlanego</w:t>
      </w:r>
      <w:r w:rsidR="001C438C">
        <w:t>, gdyż jest to obiekt wolnostojący, niezwiązany z obiektem budowlanym i jego funkcją nie jest zapewnienie możliwości</w:t>
      </w:r>
      <w:r w:rsidR="001C438C" w:rsidRPr="00910D0E">
        <w:t xml:space="preserve"> użytkowania</w:t>
      </w:r>
      <w:r w:rsidR="001C438C">
        <w:t xml:space="preserve"> jakiegoś</w:t>
      </w:r>
      <w:r w:rsidR="001C438C" w:rsidRPr="00910D0E">
        <w:t xml:space="preserve"> obiekt</w:t>
      </w:r>
      <w:r w:rsidR="001C438C">
        <w:t xml:space="preserve">u budowlanego zgodnie z jego przeznaczeniem. </w:t>
      </w:r>
      <w:r>
        <w:t>N</w:t>
      </w:r>
      <w:r w:rsidR="001C438C">
        <w:t xml:space="preserve">ie podlega </w:t>
      </w:r>
      <w:r>
        <w:t xml:space="preserve">on </w:t>
      </w:r>
      <w:r w:rsidR="001C438C">
        <w:t xml:space="preserve">opodatkowaniu podatkiem od nieruchomości również jako obiekt </w:t>
      </w:r>
      <w:r w:rsidR="001C438C" w:rsidRPr="00910D0E">
        <w:t xml:space="preserve">budowlany w rozumieniu przepisów prawa budowlanego niebędący budynkiem </w:t>
      </w:r>
      <w:r w:rsidR="001C438C">
        <w:t>lub obiektem małej architektury.</w:t>
      </w:r>
    </w:p>
    <w:p w:rsidR="001C438C" w:rsidRDefault="001C438C" w:rsidP="005F3A40">
      <w:r>
        <w:t>Zgodnie z przepisem art. 1a ust. 1 pkt 2 in principio upol, budowlą w świetle przepisów tej ustawy jest:</w:t>
      </w:r>
    </w:p>
    <w:p w:rsidR="001C438C" w:rsidRDefault="001C438C" w:rsidP="00810B7A">
      <w:pPr>
        <w:pStyle w:val="Akapitzlist"/>
        <w:numPr>
          <w:ilvl w:val="0"/>
          <w:numId w:val="14"/>
        </w:numPr>
      </w:pPr>
      <w:r w:rsidRPr="007A0E93">
        <w:t>obiekt budowlany w rozumieniu przepisów prawa budowlanego</w:t>
      </w:r>
      <w:r>
        <w:t>,</w:t>
      </w:r>
    </w:p>
    <w:p w:rsidR="001C438C" w:rsidRDefault="001C438C" w:rsidP="00810B7A">
      <w:pPr>
        <w:pStyle w:val="Akapitzlist"/>
        <w:numPr>
          <w:ilvl w:val="0"/>
          <w:numId w:val="14"/>
        </w:numPr>
      </w:pPr>
      <w:r>
        <w:t>jednocześnie</w:t>
      </w:r>
      <w:r w:rsidRPr="007A0E93">
        <w:t xml:space="preserve"> niebędący budynkiem </w:t>
      </w:r>
      <w:r>
        <w:t>lub ob</w:t>
      </w:r>
      <w:r w:rsidR="00810B7A">
        <w:t>iektem małej architektury.</w:t>
      </w:r>
    </w:p>
    <w:p w:rsidR="001C438C" w:rsidRDefault="001C438C" w:rsidP="005F3A40">
      <w:r>
        <w:t xml:space="preserve">Zgodnie z powołanym przepisem, obiektem budowalnym w świetle przepisów upol jest obiekt budowlany </w:t>
      </w:r>
      <w:r w:rsidRPr="007A0E93">
        <w:t>w rozumieniu przepisów prawa budowlanego</w:t>
      </w:r>
      <w:r>
        <w:t>.</w:t>
      </w:r>
    </w:p>
    <w:p w:rsidR="001C438C" w:rsidRDefault="001C438C" w:rsidP="005F3A40">
      <w:r>
        <w:t xml:space="preserve">Definicja obiektu budowalnego zawarta jest w przepisie art. 3 pkt 1 ustawy z dnia 7 lipca 1994 r. - </w:t>
      </w:r>
      <w:r w:rsidRPr="007A0E93">
        <w:t>Prawo budowlane</w:t>
      </w:r>
      <w:r>
        <w:t xml:space="preserve"> (</w:t>
      </w:r>
      <w:r w:rsidRPr="007A0E93">
        <w:t>Dz.</w:t>
      </w:r>
      <w:r>
        <w:t xml:space="preserve"> </w:t>
      </w:r>
      <w:r w:rsidRPr="007A0E93">
        <w:t>U.</w:t>
      </w:r>
      <w:r>
        <w:t xml:space="preserve"> z </w:t>
      </w:r>
      <w:r w:rsidRPr="007A0E93">
        <w:t>2020</w:t>
      </w:r>
      <w:r>
        <w:t xml:space="preserve"> r</w:t>
      </w:r>
      <w:r w:rsidRPr="007A0E93">
        <w:t>.</w:t>
      </w:r>
      <w:r>
        <w:t xml:space="preserve"> poz. </w:t>
      </w:r>
      <w:r w:rsidRPr="007A0E93">
        <w:t>1333</w:t>
      </w:r>
      <w:r>
        <w:t>, z późn. zm.). Zgodnie z tym przepisem, obiektem budowalnym jest budynek, budowla</w:t>
      </w:r>
      <w:r w:rsidRPr="0084426C">
        <w:t xml:space="preserve"> bądź obiekt małej architektury, wraz z instalacjami zapewniającymi możliwość użytkowania obiektu zgodnie z jego przeznaczeniem, wzniesion</w:t>
      </w:r>
      <w:r>
        <w:t>y z</w:t>
      </w:r>
      <w:r w:rsidR="00810B7A">
        <w:t> </w:t>
      </w:r>
      <w:r>
        <w:t xml:space="preserve"> użyciem wyrobów budowlanych.</w:t>
      </w:r>
    </w:p>
    <w:p w:rsidR="001C438C" w:rsidRDefault="001C438C" w:rsidP="005F3A40">
      <w:r>
        <w:t xml:space="preserve">Z przepisu art. 3 pkt 1 Prawa budowlanego wynika, że konieczną cechą danego obiektu, aby mógł on zostać zakwalifikowany jako obiekt budowlany jest to, aby został on </w:t>
      </w:r>
      <w:r w:rsidRPr="0084426C">
        <w:t>wzniesion</w:t>
      </w:r>
      <w:r>
        <w:t>y z użyciem wyrobów budowlanych.</w:t>
      </w:r>
    </w:p>
    <w:p w:rsidR="001C438C" w:rsidRDefault="001C438C" w:rsidP="005F3A40">
      <w:r>
        <w:t xml:space="preserve">W ślad za poglądem wyrażonym przez Naczelny Sąd Administracyjny w wyroku </w:t>
      </w:r>
      <w:r w:rsidRPr="0084426C">
        <w:t>z dnia 22 października 2018 r.</w:t>
      </w:r>
      <w:r>
        <w:t xml:space="preserve">, sygn. akt </w:t>
      </w:r>
      <w:r w:rsidRPr="0084426C">
        <w:t>II FSK 2983/17</w:t>
      </w:r>
      <w:r>
        <w:t xml:space="preserve"> (CBOSA), organ wydający interpretację wskazuje: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>
        <w:t>z</w:t>
      </w:r>
      <w:r w:rsidRPr="0084426C">
        <w:t>wrot legislacyjny "wzniesion</w:t>
      </w:r>
      <w:r w:rsidR="0066467D">
        <w:t>y z użyciem wyrobów budowlanych</w:t>
      </w:r>
      <w:r w:rsidRPr="0084426C">
        <w:t>", jakim posłużył się u</w:t>
      </w:r>
      <w:r>
        <w:t xml:space="preserve">stawodawca w art. 3 pkt 1 Prawa budowlanego, może budzić wątpliwości co do tego, </w:t>
      </w:r>
      <w:r w:rsidRPr="0084426C">
        <w:t>czy uregulowanie to</w:t>
      </w:r>
      <w:r w:rsidR="00810B7A">
        <w:t> </w:t>
      </w:r>
      <w:r w:rsidRPr="0084426C">
        <w:t>oznacza, że budowlą (budynkiem, obiektem małej architektury) jest obiekt wzniesiony tylko z</w:t>
      </w:r>
      <w:r w:rsidR="00810B7A">
        <w:t> </w:t>
      </w:r>
      <w:r w:rsidRPr="0084426C">
        <w:t>wyk</w:t>
      </w:r>
      <w:r>
        <w:t>orzystaniem wyrobów budowlanych,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 w:rsidRPr="0084426C">
        <w:t>rozumowaniu takiemu przeczą pozosta</w:t>
      </w:r>
      <w:r>
        <w:t>łe fragmenty art. 3 pkt 1 Prawa budowlanego</w:t>
      </w:r>
      <w:r w:rsidRPr="0084426C">
        <w:t xml:space="preserve"> - "wraz z</w:t>
      </w:r>
      <w:r w:rsidR="00810B7A">
        <w:t xml:space="preserve">  </w:t>
      </w:r>
      <w:r w:rsidRPr="0084426C">
        <w:t xml:space="preserve">instalacjami zapewniającymi możliwość użytkowania obiektu </w:t>
      </w:r>
      <w:r>
        <w:t>zgodnie z jego przeznaczeniem",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>
        <w:lastRenderedPageBreak/>
        <w:t>u</w:t>
      </w:r>
      <w:r w:rsidRPr="0084426C">
        <w:t>stawodawca nie użył też w analizowanym przepisie określenia "wyłącznie z użyciem wyrobów budowlanych" (lub np. "składający się tylko z wyrobów budowlanych"), a</w:t>
      </w:r>
      <w:r w:rsidR="0066467D">
        <w:t xml:space="preserve"> jedynie </w:t>
      </w:r>
      <w:r>
        <w:t>z</w:t>
      </w:r>
      <w:r w:rsidR="004116E9">
        <w:t> </w:t>
      </w:r>
      <w:r>
        <w:t xml:space="preserve"> ich "wykorzystaniem",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>
        <w:t>t</w:t>
      </w:r>
      <w:r w:rsidRPr="0084426C">
        <w:t>o wszystko nie pozwala na negowanie tezy, że określenie "z wykorzystaniem" oznacza użycie do wzniesienia obiektu budowlanego również innych elementów niż wyroby budo</w:t>
      </w:r>
      <w:r>
        <w:t>wlane (np.</w:t>
      </w:r>
      <w:r w:rsidR="004116E9">
        <w:t> </w:t>
      </w:r>
      <w:r>
        <w:t>elementy techniczne),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 w:rsidRPr="0084426C">
        <w:t>"udział" wyrobów budowlanych w obiekcie budowlanym wi</w:t>
      </w:r>
      <w:r>
        <w:t>nien mieć charakter dominujący,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>
        <w:t>p</w:t>
      </w:r>
      <w:r w:rsidRPr="0084426C">
        <w:t>owinien w zasadniczy sposób wpływać na właściwości użytkowe obiektów budowlanych w</w:t>
      </w:r>
      <w:r w:rsidR="004116E9">
        <w:t> </w:t>
      </w:r>
      <w:r w:rsidRPr="0084426C">
        <w:t>stosunku do podstawowych wyma</w:t>
      </w:r>
      <w:r>
        <w:t>gań dotyczących tychże obiektów,</w:t>
      </w:r>
      <w:r w:rsidRPr="0084426C">
        <w:t xml:space="preserve"> </w:t>
      </w:r>
    </w:p>
    <w:p w:rsidR="001C438C" w:rsidRDefault="001C438C" w:rsidP="00B966C6">
      <w:pPr>
        <w:pStyle w:val="Akapitzlist"/>
        <w:numPr>
          <w:ilvl w:val="0"/>
          <w:numId w:val="15"/>
        </w:numPr>
      </w:pPr>
      <w:r>
        <w:t>p</w:t>
      </w:r>
      <w:r w:rsidRPr="0084426C">
        <w:t>ogląd, że "obiektem budowlanym będą takie obiekty, w których wyroby budowlane wysuwają się na pierwszy plan i wpływają na ich właściwości", wy</w:t>
      </w:r>
      <w:r>
        <w:t xml:space="preserve">prowadzany również z treści </w:t>
      </w:r>
      <w:r w:rsidRPr="0084426C">
        <w:t>rozporządzenia Parlamentu Europejskiego i Rady (UE) nr 305/2011, obecny jest w doktrynie (por. W. Morawski,</w:t>
      </w:r>
      <w:r w:rsidR="00B966C6">
        <w:t xml:space="preserve"> </w:t>
      </w:r>
      <w:r w:rsidRPr="0084426C">
        <w:t xml:space="preserve">Wpływ definicji obiektu budowlanego na zakres przedmiotowy podatku od nieruchomości - przypadkowa rewolucja?, </w:t>
      </w:r>
      <w:proofErr w:type="spellStart"/>
      <w:r w:rsidRPr="0084426C">
        <w:t>Przegl</w:t>
      </w:r>
      <w:proofErr w:type="spellEnd"/>
      <w:r w:rsidRPr="0084426C">
        <w:t>. Pod. Nr 6 z 2015 r., s. 28).</w:t>
      </w:r>
    </w:p>
    <w:p w:rsidR="001C438C" w:rsidRDefault="001C438C" w:rsidP="005F3A40">
      <w:r>
        <w:t>Skoro Spółka w uzupełnieniu wniosku wskazała, że:</w:t>
      </w:r>
    </w:p>
    <w:p w:rsidR="001C438C" w:rsidRDefault="00554579" w:rsidP="00B966C6">
      <w:pPr>
        <w:pStyle w:val="Akapitzlist"/>
        <w:numPr>
          <w:ilvl w:val="0"/>
          <w:numId w:val="16"/>
        </w:numPr>
      </w:pPr>
      <w:r>
        <w:t>automat paczkowy</w:t>
      </w:r>
      <w:r w:rsidR="001C438C">
        <w:t xml:space="preserve"> został wyprodukowany „generalnie bez użycia wyrobów budowlanych”,</w:t>
      </w:r>
    </w:p>
    <w:p w:rsidR="001C438C" w:rsidRDefault="001C438C" w:rsidP="00B966C6">
      <w:pPr>
        <w:pStyle w:val="Akapitzlist"/>
        <w:numPr>
          <w:ilvl w:val="0"/>
          <w:numId w:val="16"/>
        </w:numPr>
      </w:pPr>
      <w:r>
        <w:t xml:space="preserve">jedynym wyrobem budowlanym, który został użyty przy produkcji </w:t>
      </w:r>
      <w:r w:rsidR="0066467D">
        <w:t>automatu paczkowego</w:t>
      </w:r>
      <w:r>
        <w:t xml:space="preserve"> są kable zasilania, </w:t>
      </w:r>
    </w:p>
    <w:p w:rsidR="001C438C" w:rsidRDefault="001C438C" w:rsidP="005F3A40">
      <w:r>
        <w:t xml:space="preserve">to uznać należy, że </w:t>
      </w:r>
      <w:r w:rsidR="00554579">
        <w:t xml:space="preserve">taki automat </w:t>
      </w:r>
      <w:r>
        <w:t>paczko</w:t>
      </w:r>
      <w:r w:rsidR="00554579">
        <w:t>wy</w:t>
      </w:r>
      <w:r>
        <w:t xml:space="preserve"> nie jest obiektem budowlanym w rozumieniu przepisów prawa budowalnego, gdyż udział wyrobów budowlanych w takim obiekcie nie jest dominujący.</w:t>
      </w:r>
    </w:p>
    <w:p w:rsidR="001C438C" w:rsidRDefault="001C438C" w:rsidP="005F3A40">
      <w:r>
        <w:t xml:space="preserve">Skoro </w:t>
      </w:r>
      <w:r w:rsidR="00554579">
        <w:t>automat paczkowy</w:t>
      </w:r>
      <w:r>
        <w:t xml:space="preserve"> nie może być uznany za obiekt budowlany w rozumieniu przepisów prawa budowalnego, to tym samym nie może być uznany za budowlę w rozumieniu przepisu art. 1a ust. 1 pkt 2 in principio upol. </w:t>
      </w:r>
    </w:p>
    <w:p w:rsidR="001C438C" w:rsidRDefault="001C438C" w:rsidP="005F3A40">
      <w:r>
        <w:t xml:space="preserve">Brak możliwości uznania </w:t>
      </w:r>
      <w:r w:rsidR="00554579">
        <w:t xml:space="preserve">automatu paczkowego </w:t>
      </w:r>
      <w:r>
        <w:t xml:space="preserve">za obiekt budowlany w rozumieniu przepisów prawa budowlanego zwalnia organ wydający interpretację z konieczności dokonywania rozważań dotyczących tego, czy posadowienie takiego urządzenia (obiektu) na utwardzeniu z kostki brukowej, bez jakiegokolwiek wiązania go z gruntem, oznacza jego „wzniesienie” w rozumieniu przepisu art. 3 pkt 1 Prawa budowlanego. Dokonanie takiego zabiegu przez organ wydający interpretacje, czyniłoby ją interpretacją warunkową, znajdującą zastosowanie w razie uznania </w:t>
      </w:r>
      <w:r w:rsidR="0066467D">
        <w:t>automatu paczkowego</w:t>
      </w:r>
      <w:r>
        <w:t xml:space="preserve"> za</w:t>
      </w:r>
      <w:r w:rsidR="004116E9">
        <w:t> </w:t>
      </w:r>
      <w:r>
        <w:t xml:space="preserve">obiekt budowlany. Interpretacja warunkowa byłaby interpretacją wadliwą. </w:t>
      </w:r>
      <w:r w:rsidRPr="00EA5D23">
        <w:t>Interpretacja indywidualna, pełniąc funkcję informacyjną</w:t>
      </w:r>
      <w:r>
        <w:t xml:space="preserve"> i ochronną</w:t>
      </w:r>
      <w:r w:rsidRPr="00EA5D23">
        <w:t>, powinna udzielać odpowiedzi konkretnych, a</w:t>
      </w:r>
      <w:r w:rsidR="004116E9">
        <w:t> </w:t>
      </w:r>
      <w:r w:rsidRPr="00EA5D23">
        <w:t xml:space="preserve"> nie warunkowych</w:t>
      </w:r>
      <w:r>
        <w:t xml:space="preserve"> (por. w</w:t>
      </w:r>
      <w:r w:rsidRPr="00EA5D23">
        <w:t>yrok</w:t>
      </w:r>
      <w:r>
        <w:t xml:space="preserve"> </w:t>
      </w:r>
      <w:r w:rsidRPr="00EA5D23">
        <w:t>Wojewódzkiego Sądu Administracyjnego w Szczecinie</w:t>
      </w:r>
      <w:r>
        <w:t xml:space="preserve"> </w:t>
      </w:r>
      <w:r w:rsidRPr="00EA5D23">
        <w:t>z dnia 16 czerwca 2021 r.</w:t>
      </w:r>
      <w:r>
        <w:t xml:space="preserve">, sygn. akt </w:t>
      </w:r>
      <w:r w:rsidRPr="00EA5D23">
        <w:t>I SA/Sz 268/21</w:t>
      </w:r>
      <w:r>
        <w:t>; CBOSA)</w:t>
      </w:r>
      <w:r w:rsidRPr="00EA5D23">
        <w:t>.</w:t>
      </w:r>
    </w:p>
    <w:p w:rsidR="001C438C" w:rsidRDefault="001C438C" w:rsidP="005F3A40">
      <w:r>
        <w:lastRenderedPageBreak/>
        <w:t xml:space="preserve">Reasumując, </w:t>
      </w:r>
      <w:r w:rsidR="00554579">
        <w:t>przedmiotowy automat paczkowy</w:t>
      </w:r>
      <w:r>
        <w:t xml:space="preserve"> nie podlega opodatkowaniu podatkiem od</w:t>
      </w:r>
      <w:r w:rsidR="004116E9">
        <w:t> </w:t>
      </w:r>
      <w:r>
        <w:t xml:space="preserve">nieruchomości, gdyż nie może zastać uznany za żaden z przedmiotów opodatkowania podatkiem od nieruchomości wymienionych w przepisie art. 2 ust. 1 </w:t>
      </w:r>
      <w:proofErr w:type="spellStart"/>
      <w:r>
        <w:t>upol</w:t>
      </w:r>
      <w:proofErr w:type="spellEnd"/>
      <w:r>
        <w:t>.</w:t>
      </w:r>
    </w:p>
    <w:p w:rsidR="001C438C" w:rsidRDefault="001C438C" w:rsidP="005F3A40">
      <w:r>
        <w:t>Mając powyższe na uwadze,</w:t>
      </w:r>
      <w:r w:rsidRPr="00CA7AC1">
        <w:t xml:space="preserve"> uzna</w:t>
      </w:r>
      <w:r>
        <w:t xml:space="preserve">ć należy stanowisko Spółki za </w:t>
      </w:r>
      <w:r w:rsidRPr="00CA7AC1">
        <w:t>prawidłowe w obowiązującym stanie prawnym.</w:t>
      </w:r>
    </w:p>
    <w:p w:rsidR="00077D21" w:rsidRPr="00CA7AC1" w:rsidRDefault="00077D21" w:rsidP="005F3A40">
      <w:pPr>
        <w:pStyle w:val="Nagwek1"/>
      </w:pPr>
      <w:r w:rsidRPr="00CA7AC1">
        <w:t>Pouczenie</w:t>
      </w:r>
    </w:p>
    <w:p w:rsidR="00077D21" w:rsidRPr="002D2B82" w:rsidRDefault="00077D21" w:rsidP="005F3A40">
      <w:pPr>
        <w:rPr>
          <w:rFonts w:cs="Calibri"/>
          <w:szCs w:val="22"/>
        </w:rPr>
      </w:pPr>
      <w:r w:rsidRPr="00F2470C">
        <w:rPr>
          <w:rFonts w:cs="Calibri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rPr>
          <w:rFonts w:cs="Calibri"/>
          <w:szCs w:val="22"/>
        </w:rPr>
        <w:t>30</w:t>
      </w:r>
      <w:r w:rsidR="005F3A40">
        <w:rPr>
          <w:rFonts w:cs="Calibri"/>
          <w:szCs w:val="22"/>
        </w:rPr>
        <w:t> </w:t>
      </w:r>
      <w:r>
        <w:rPr>
          <w:rFonts w:cs="Calibri"/>
          <w:szCs w:val="22"/>
        </w:rPr>
        <w:t xml:space="preserve"> sierpnia 2002 r. – Prawo</w:t>
      </w:r>
      <w:r w:rsidRPr="00F2470C">
        <w:rPr>
          <w:rFonts w:cs="Calibri"/>
          <w:szCs w:val="22"/>
        </w:rPr>
        <w:t xml:space="preserve"> o postępowaniu przed sądami administracyjnymi – Dz. U. z 2019 r. poz. 2325, z późn. zm.). Skargę wnosi się za pośrednictwem Prezydenta m.st. Warszawy – Centrum Obsługi Podatnika, ul. Obozowa 57, 01-161</w:t>
      </w:r>
      <w:r>
        <w:rPr>
          <w:rFonts w:cs="Calibri"/>
          <w:szCs w:val="22"/>
        </w:rPr>
        <w:t xml:space="preserve"> Warszawa (adres do korespondencji: ul. Kredytowa 3, 00-</w:t>
      </w:r>
      <w:r w:rsidR="005F3A40">
        <w:rPr>
          <w:rFonts w:cs="Calibri"/>
          <w:szCs w:val="22"/>
        </w:rPr>
        <w:t> </w:t>
      </w:r>
      <w:r>
        <w:rPr>
          <w:rFonts w:cs="Calibri"/>
          <w:szCs w:val="22"/>
        </w:rPr>
        <w:t>056 Warszawa).</w:t>
      </w:r>
    </w:p>
    <w:sectPr w:rsidR="00077D21" w:rsidRPr="002D2B82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42" w:rsidRDefault="00664D42" w:rsidP="000B5F7B">
      <w:r>
        <w:separator/>
      </w:r>
    </w:p>
  </w:endnote>
  <w:endnote w:type="continuationSeparator" w:id="0">
    <w:p w:rsidR="00664D42" w:rsidRDefault="00664D42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C00411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C00411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C00411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C00411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C00411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C00411">
      <w:rPr>
        <w:rFonts w:asciiTheme="minorHAnsi" w:hAnsiTheme="minorHAnsi" w:cstheme="minorHAnsi"/>
        <w:sz w:val="22"/>
        <w:szCs w:val="22"/>
      </w:rPr>
      <w:t>tel. +48224430962</w:t>
    </w:r>
  </w:p>
  <w:p w:rsidR="00080433" w:rsidRDefault="00080433" w:rsidP="00C00411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 w:rsidRPr="00C00411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C00411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C00411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F40928">
      <w:rPr>
        <w:rFonts w:asciiTheme="minorHAnsi" w:hAnsiTheme="minorHAnsi" w:cstheme="minorHAnsi"/>
        <w:noProof/>
        <w:sz w:val="22"/>
        <w:szCs w:val="22"/>
      </w:rPr>
      <w:t>3</w:t>
    </w:r>
    <w:r w:rsidRPr="00C00411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C00411">
      <w:rPr>
        <w:rFonts w:asciiTheme="minorHAnsi" w:hAnsiTheme="minorHAnsi" w:cstheme="minorHAnsi"/>
        <w:sz w:val="22"/>
        <w:szCs w:val="22"/>
      </w:rPr>
      <w:t xml:space="preserve"> z </w:t>
    </w:r>
    <w:r w:rsidR="004116E9" w:rsidRPr="00C00411">
      <w:rPr>
        <w:rFonts w:asciiTheme="minorHAnsi" w:hAnsiTheme="minorHAnsi" w:cstheme="minorHAnsi"/>
        <w:sz w:val="22"/>
        <w:szCs w:val="22"/>
      </w:rPr>
      <w:fldChar w:fldCharType="begin"/>
    </w:r>
    <w:r w:rsidR="004116E9" w:rsidRPr="00C00411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4116E9" w:rsidRPr="00C00411">
      <w:rPr>
        <w:rFonts w:asciiTheme="minorHAnsi" w:hAnsiTheme="minorHAnsi" w:cstheme="minorHAnsi"/>
        <w:sz w:val="22"/>
        <w:szCs w:val="22"/>
      </w:rPr>
      <w:fldChar w:fldCharType="separate"/>
    </w:r>
    <w:r w:rsidR="00F40928">
      <w:rPr>
        <w:rFonts w:asciiTheme="minorHAnsi" w:hAnsiTheme="minorHAnsi" w:cstheme="minorHAnsi"/>
        <w:noProof/>
        <w:sz w:val="22"/>
        <w:szCs w:val="22"/>
      </w:rPr>
      <w:t>6</w:t>
    </w:r>
    <w:r w:rsidR="004116E9" w:rsidRPr="00C00411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42" w:rsidRDefault="00664D42" w:rsidP="000B5F7B">
      <w:r>
        <w:separator/>
      </w:r>
    </w:p>
  </w:footnote>
  <w:footnote w:type="continuationSeparator" w:id="0">
    <w:p w:rsidR="00664D42" w:rsidRDefault="00664D42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2F44"/>
    <w:multiLevelType w:val="hybridMultilevel"/>
    <w:tmpl w:val="2068A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74D76"/>
    <w:multiLevelType w:val="hybridMultilevel"/>
    <w:tmpl w:val="FBE07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818B2"/>
    <w:multiLevelType w:val="hybridMultilevel"/>
    <w:tmpl w:val="1116C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AD3825"/>
    <w:multiLevelType w:val="hybridMultilevel"/>
    <w:tmpl w:val="602A8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C3C2A"/>
    <w:multiLevelType w:val="hybridMultilevel"/>
    <w:tmpl w:val="9148E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2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3B30"/>
    <w:rsid w:val="00015B6D"/>
    <w:rsid w:val="00017F2C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32892"/>
    <w:rsid w:val="00136893"/>
    <w:rsid w:val="00143CDB"/>
    <w:rsid w:val="00146995"/>
    <w:rsid w:val="0016143A"/>
    <w:rsid w:val="0016354E"/>
    <w:rsid w:val="00174203"/>
    <w:rsid w:val="001746E6"/>
    <w:rsid w:val="001747CA"/>
    <w:rsid w:val="001821B4"/>
    <w:rsid w:val="0018321B"/>
    <w:rsid w:val="001872C1"/>
    <w:rsid w:val="0018759B"/>
    <w:rsid w:val="001911AA"/>
    <w:rsid w:val="00194841"/>
    <w:rsid w:val="00196898"/>
    <w:rsid w:val="001A7656"/>
    <w:rsid w:val="001B1DC8"/>
    <w:rsid w:val="001B710B"/>
    <w:rsid w:val="001C38C6"/>
    <w:rsid w:val="001C438C"/>
    <w:rsid w:val="001D12C2"/>
    <w:rsid w:val="001D3798"/>
    <w:rsid w:val="001E212E"/>
    <w:rsid w:val="001F01C8"/>
    <w:rsid w:val="001F3658"/>
    <w:rsid w:val="002059C4"/>
    <w:rsid w:val="00262BC2"/>
    <w:rsid w:val="00264FA6"/>
    <w:rsid w:val="0029658B"/>
    <w:rsid w:val="002965E0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0AEA"/>
    <w:rsid w:val="0030482C"/>
    <w:rsid w:val="0030602F"/>
    <w:rsid w:val="00325EE9"/>
    <w:rsid w:val="0033528D"/>
    <w:rsid w:val="00335322"/>
    <w:rsid w:val="00337FD1"/>
    <w:rsid w:val="003438A1"/>
    <w:rsid w:val="003544DD"/>
    <w:rsid w:val="00360539"/>
    <w:rsid w:val="0036259B"/>
    <w:rsid w:val="003677F2"/>
    <w:rsid w:val="003768ED"/>
    <w:rsid w:val="00384140"/>
    <w:rsid w:val="003849C3"/>
    <w:rsid w:val="00384EAD"/>
    <w:rsid w:val="00387679"/>
    <w:rsid w:val="00394CF7"/>
    <w:rsid w:val="003968A8"/>
    <w:rsid w:val="003974BB"/>
    <w:rsid w:val="003A0AAB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47BA"/>
    <w:rsid w:val="003E7A2F"/>
    <w:rsid w:val="003F2235"/>
    <w:rsid w:val="003F4E11"/>
    <w:rsid w:val="003F5FB8"/>
    <w:rsid w:val="003F6E8B"/>
    <w:rsid w:val="00403319"/>
    <w:rsid w:val="004116E9"/>
    <w:rsid w:val="00423803"/>
    <w:rsid w:val="004278F3"/>
    <w:rsid w:val="00431DE8"/>
    <w:rsid w:val="0044785C"/>
    <w:rsid w:val="00454B58"/>
    <w:rsid w:val="00473680"/>
    <w:rsid w:val="004A0523"/>
    <w:rsid w:val="004A50E0"/>
    <w:rsid w:val="004A72F5"/>
    <w:rsid w:val="004C1B0C"/>
    <w:rsid w:val="004C6190"/>
    <w:rsid w:val="004D4A28"/>
    <w:rsid w:val="004E2CF0"/>
    <w:rsid w:val="004E4C7B"/>
    <w:rsid w:val="004F17CF"/>
    <w:rsid w:val="004F4108"/>
    <w:rsid w:val="005059AE"/>
    <w:rsid w:val="00531FE0"/>
    <w:rsid w:val="00534E63"/>
    <w:rsid w:val="00534E89"/>
    <w:rsid w:val="005352ED"/>
    <w:rsid w:val="00543444"/>
    <w:rsid w:val="00554579"/>
    <w:rsid w:val="00556F67"/>
    <w:rsid w:val="0056159E"/>
    <w:rsid w:val="00564A58"/>
    <w:rsid w:val="00565636"/>
    <w:rsid w:val="00565675"/>
    <w:rsid w:val="005709D6"/>
    <w:rsid w:val="00572E6E"/>
    <w:rsid w:val="00580FDA"/>
    <w:rsid w:val="00585C7B"/>
    <w:rsid w:val="00590B2F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F0224"/>
    <w:rsid w:val="005F3A40"/>
    <w:rsid w:val="0061659B"/>
    <w:rsid w:val="00624CC2"/>
    <w:rsid w:val="00635D40"/>
    <w:rsid w:val="00644277"/>
    <w:rsid w:val="00653537"/>
    <w:rsid w:val="00663C75"/>
    <w:rsid w:val="0066467D"/>
    <w:rsid w:val="00664D42"/>
    <w:rsid w:val="0069498A"/>
    <w:rsid w:val="006A650E"/>
    <w:rsid w:val="006B1344"/>
    <w:rsid w:val="006B3C8D"/>
    <w:rsid w:val="006C73AA"/>
    <w:rsid w:val="006E3C66"/>
    <w:rsid w:val="006F5330"/>
    <w:rsid w:val="00701DBB"/>
    <w:rsid w:val="00703A4C"/>
    <w:rsid w:val="0070605A"/>
    <w:rsid w:val="007257F7"/>
    <w:rsid w:val="00726980"/>
    <w:rsid w:val="00737428"/>
    <w:rsid w:val="007436E4"/>
    <w:rsid w:val="00745429"/>
    <w:rsid w:val="00745829"/>
    <w:rsid w:val="00745EAC"/>
    <w:rsid w:val="00745FFE"/>
    <w:rsid w:val="00746B9E"/>
    <w:rsid w:val="00760FEC"/>
    <w:rsid w:val="0076194D"/>
    <w:rsid w:val="0077428C"/>
    <w:rsid w:val="007755CA"/>
    <w:rsid w:val="00791D53"/>
    <w:rsid w:val="007A4BCD"/>
    <w:rsid w:val="007A6DBC"/>
    <w:rsid w:val="007B506F"/>
    <w:rsid w:val="007C27F6"/>
    <w:rsid w:val="007C5FB8"/>
    <w:rsid w:val="007D0BBB"/>
    <w:rsid w:val="007D669F"/>
    <w:rsid w:val="007F4923"/>
    <w:rsid w:val="007F6A32"/>
    <w:rsid w:val="007F6F5B"/>
    <w:rsid w:val="00801D99"/>
    <w:rsid w:val="00806B7D"/>
    <w:rsid w:val="00810B7A"/>
    <w:rsid w:val="00822838"/>
    <w:rsid w:val="00822A28"/>
    <w:rsid w:val="00823D19"/>
    <w:rsid w:val="0082569C"/>
    <w:rsid w:val="00830BA5"/>
    <w:rsid w:val="00831BF7"/>
    <w:rsid w:val="008333CD"/>
    <w:rsid w:val="00836FC5"/>
    <w:rsid w:val="008550D7"/>
    <w:rsid w:val="00855C50"/>
    <w:rsid w:val="008576F4"/>
    <w:rsid w:val="008619F6"/>
    <w:rsid w:val="00877A6A"/>
    <w:rsid w:val="00890E43"/>
    <w:rsid w:val="008A04D5"/>
    <w:rsid w:val="008A0C9C"/>
    <w:rsid w:val="008A64A4"/>
    <w:rsid w:val="008A79B3"/>
    <w:rsid w:val="008B56A0"/>
    <w:rsid w:val="008B6E48"/>
    <w:rsid w:val="008C5EAC"/>
    <w:rsid w:val="008D272C"/>
    <w:rsid w:val="008D77E9"/>
    <w:rsid w:val="008F580A"/>
    <w:rsid w:val="008F6787"/>
    <w:rsid w:val="009017BE"/>
    <w:rsid w:val="009019A3"/>
    <w:rsid w:val="00905812"/>
    <w:rsid w:val="0091525B"/>
    <w:rsid w:val="00922F85"/>
    <w:rsid w:val="00923885"/>
    <w:rsid w:val="0092423F"/>
    <w:rsid w:val="009256C1"/>
    <w:rsid w:val="00930297"/>
    <w:rsid w:val="009460CD"/>
    <w:rsid w:val="00947D6C"/>
    <w:rsid w:val="009547CC"/>
    <w:rsid w:val="0095588A"/>
    <w:rsid w:val="00957C32"/>
    <w:rsid w:val="00964EE3"/>
    <w:rsid w:val="00967C08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D0D3A"/>
    <w:rsid w:val="009D145D"/>
    <w:rsid w:val="009F17B2"/>
    <w:rsid w:val="009F5172"/>
    <w:rsid w:val="00A01806"/>
    <w:rsid w:val="00A02ED6"/>
    <w:rsid w:val="00A10CA3"/>
    <w:rsid w:val="00A13BF6"/>
    <w:rsid w:val="00A2170D"/>
    <w:rsid w:val="00A522F4"/>
    <w:rsid w:val="00A53123"/>
    <w:rsid w:val="00A57255"/>
    <w:rsid w:val="00A63B90"/>
    <w:rsid w:val="00A71D51"/>
    <w:rsid w:val="00A85653"/>
    <w:rsid w:val="00A910FC"/>
    <w:rsid w:val="00AA2737"/>
    <w:rsid w:val="00AA401C"/>
    <w:rsid w:val="00AA4810"/>
    <w:rsid w:val="00AA5371"/>
    <w:rsid w:val="00AB028B"/>
    <w:rsid w:val="00AB1F44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966C6"/>
    <w:rsid w:val="00BA16E4"/>
    <w:rsid w:val="00BA3D40"/>
    <w:rsid w:val="00BA52E8"/>
    <w:rsid w:val="00BA7840"/>
    <w:rsid w:val="00BB16D2"/>
    <w:rsid w:val="00BB2991"/>
    <w:rsid w:val="00BB3D4B"/>
    <w:rsid w:val="00BC13CD"/>
    <w:rsid w:val="00BC2142"/>
    <w:rsid w:val="00BC4E4A"/>
    <w:rsid w:val="00BD44A3"/>
    <w:rsid w:val="00BD651A"/>
    <w:rsid w:val="00C00411"/>
    <w:rsid w:val="00C01EF4"/>
    <w:rsid w:val="00C030A3"/>
    <w:rsid w:val="00C051D8"/>
    <w:rsid w:val="00C15640"/>
    <w:rsid w:val="00C2185C"/>
    <w:rsid w:val="00C34BD6"/>
    <w:rsid w:val="00C54A86"/>
    <w:rsid w:val="00C54FC5"/>
    <w:rsid w:val="00C57A0B"/>
    <w:rsid w:val="00C62D84"/>
    <w:rsid w:val="00C70A98"/>
    <w:rsid w:val="00C918AC"/>
    <w:rsid w:val="00CA0459"/>
    <w:rsid w:val="00CA15DA"/>
    <w:rsid w:val="00CA7AC1"/>
    <w:rsid w:val="00CC4185"/>
    <w:rsid w:val="00CC44FB"/>
    <w:rsid w:val="00CC7804"/>
    <w:rsid w:val="00CD0C6D"/>
    <w:rsid w:val="00CD229D"/>
    <w:rsid w:val="00CD39BC"/>
    <w:rsid w:val="00CE5097"/>
    <w:rsid w:val="00CF3BC6"/>
    <w:rsid w:val="00D01B4A"/>
    <w:rsid w:val="00D06DDC"/>
    <w:rsid w:val="00D1085E"/>
    <w:rsid w:val="00D11FE1"/>
    <w:rsid w:val="00D12215"/>
    <w:rsid w:val="00D12E8D"/>
    <w:rsid w:val="00D2356A"/>
    <w:rsid w:val="00D235D9"/>
    <w:rsid w:val="00D25147"/>
    <w:rsid w:val="00D27661"/>
    <w:rsid w:val="00D27EFF"/>
    <w:rsid w:val="00D37769"/>
    <w:rsid w:val="00D43331"/>
    <w:rsid w:val="00D44287"/>
    <w:rsid w:val="00D44827"/>
    <w:rsid w:val="00D50499"/>
    <w:rsid w:val="00D530B9"/>
    <w:rsid w:val="00D617EB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3548"/>
    <w:rsid w:val="00DB4ED8"/>
    <w:rsid w:val="00DC0466"/>
    <w:rsid w:val="00DC5FF2"/>
    <w:rsid w:val="00DD0539"/>
    <w:rsid w:val="00DD764E"/>
    <w:rsid w:val="00DF1FD4"/>
    <w:rsid w:val="00E00B45"/>
    <w:rsid w:val="00E06293"/>
    <w:rsid w:val="00E114D2"/>
    <w:rsid w:val="00E136C0"/>
    <w:rsid w:val="00E161FF"/>
    <w:rsid w:val="00E162EC"/>
    <w:rsid w:val="00E16819"/>
    <w:rsid w:val="00E206F7"/>
    <w:rsid w:val="00E34934"/>
    <w:rsid w:val="00E3720B"/>
    <w:rsid w:val="00E47634"/>
    <w:rsid w:val="00E6107F"/>
    <w:rsid w:val="00E66122"/>
    <w:rsid w:val="00E67257"/>
    <w:rsid w:val="00E72711"/>
    <w:rsid w:val="00E72851"/>
    <w:rsid w:val="00E75F6D"/>
    <w:rsid w:val="00E8249F"/>
    <w:rsid w:val="00E85EFC"/>
    <w:rsid w:val="00E86F46"/>
    <w:rsid w:val="00E92408"/>
    <w:rsid w:val="00E94743"/>
    <w:rsid w:val="00E9537A"/>
    <w:rsid w:val="00E95DB5"/>
    <w:rsid w:val="00EA0DA9"/>
    <w:rsid w:val="00EA0DE6"/>
    <w:rsid w:val="00EA55FA"/>
    <w:rsid w:val="00EA6EF6"/>
    <w:rsid w:val="00EB534C"/>
    <w:rsid w:val="00EB5CE4"/>
    <w:rsid w:val="00EC1EAE"/>
    <w:rsid w:val="00EC4C41"/>
    <w:rsid w:val="00ED0DAF"/>
    <w:rsid w:val="00ED334C"/>
    <w:rsid w:val="00EE14BC"/>
    <w:rsid w:val="00EF40F7"/>
    <w:rsid w:val="00F03517"/>
    <w:rsid w:val="00F036D3"/>
    <w:rsid w:val="00F06748"/>
    <w:rsid w:val="00F11112"/>
    <w:rsid w:val="00F34F7D"/>
    <w:rsid w:val="00F40928"/>
    <w:rsid w:val="00F42AE0"/>
    <w:rsid w:val="00F4326C"/>
    <w:rsid w:val="00F47624"/>
    <w:rsid w:val="00F5627A"/>
    <w:rsid w:val="00F636BD"/>
    <w:rsid w:val="00F7270A"/>
    <w:rsid w:val="00F8363E"/>
    <w:rsid w:val="00F92A7B"/>
    <w:rsid w:val="00F9553B"/>
    <w:rsid w:val="00FA279D"/>
    <w:rsid w:val="00FA652D"/>
    <w:rsid w:val="00FB061F"/>
    <w:rsid w:val="00FC494F"/>
    <w:rsid w:val="00FC6638"/>
    <w:rsid w:val="00FD110C"/>
    <w:rsid w:val="00FE6674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29FF71C"/>
  <w15:chartTrackingRefBased/>
  <w15:docId w15:val="{74F5AAC8-7750-4D71-97E2-6A2EE22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41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F3A40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Nagwek1Znak">
    <w:name w:val="Nagłówek 1 Znak"/>
    <w:basedOn w:val="Domylnaczcionkaakapitu"/>
    <w:link w:val="Nagwek1"/>
    <w:rsid w:val="005F3A40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6339-1DD7-43F6-B6D9-ED5A7A4EA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1580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10</cp:revision>
  <cp:lastPrinted>2023-02-14T13:14:00Z</cp:lastPrinted>
  <dcterms:created xsi:type="dcterms:W3CDTF">2023-02-14T10:26:00Z</dcterms:created>
  <dcterms:modified xsi:type="dcterms:W3CDTF">2023-02-15T07:31:00Z</dcterms:modified>
</cp:coreProperties>
</file>