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03" w:rsidRDefault="00F37C03" w:rsidP="008D76D8">
      <w:pPr>
        <w:jc w:val="right"/>
      </w:pPr>
      <w:bookmarkStart w:id="0" w:name="_GoBack"/>
      <w:bookmarkEnd w:id="0"/>
      <w:r w:rsidRPr="0074079E">
        <w:t xml:space="preserve">Warszawa, </w:t>
      </w:r>
      <w:r w:rsidR="00CC121D">
        <w:t>2021-03-17</w:t>
      </w:r>
    </w:p>
    <w:p w:rsidR="00F57467" w:rsidRPr="008D76D8" w:rsidRDefault="00F37C03" w:rsidP="008D76D8">
      <w:pPr>
        <w:rPr>
          <w:b/>
          <w:bCs/>
          <w:sz w:val="24"/>
          <w:szCs w:val="24"/>
        </w:rPr>
      </w:pPr>
      <w:r w:rsidRPr="008D76D8">
        <w:rPr>
          <w:b/>
        </w:rPr>
        <w:t>PREZYDENT</w:t>
      </w:r>
      <w:r w:rsidR="008D76D8" w:rsidRPr="008D76D8">
        <w:rPr>
          <w:b/>
        </w:rPr>
        <w:t xml:space="preserve"> </w:t>
      </w:r>
      <w:r w:rsidRPr="008D76D8">
        <w:rPr>
          <w:b/>
        </w:rPr>
        <w:t>MIASTA STOŁECZNEGO WARSZAWY</w:t>
      </w:r>
    </w:p>
    <w:p w:rsidR="00F37C03" w:rsidRPr="008D76D8" w:rsidRDefault="00F37C03" w:rsidP="008D76D8">
      <w:pPr>
        <w:rPr>
          <w:b/>
          <w:lang w:val="en-US"/>
        </w:rPr>
      </w:pPr>
      <w:r w:rsidRPr="008D76D8">
        <w:rPr>
          <w:b/>
          <w:lang w:val="en-US"/>
        </w:rPr>
        <w:t>COP-13.310.3.2021.GWA</w:t>
      </w:r>
    </w:p>
    <w:p w:rsidR="00F37C03" w:rsidRPr="008D76D8" w:rsidRDefault="00F37C03" w:rsidP="008D76D8">
      <w:pPr>
        <w:rPr>
          <w:b/>
          <w:lang w:val="en-US"/>
        </w:rPr>
      </w:pPr>
      <w:r w:rsidRPr="008D76D8">
        <w:rPr>
          <w:b/>
          <w:lang w:val="en-US"/>
        </w:rPr>
        <w:t>COP-13</w:t>
      </w:r>
      <w:r w:rsidR="00CC121D" w:rsidRPr="008D76D8">
        <w:rPr>
          <w:b/>
          <w:lang w:val="en-US"/>
        </w:rPr>
        <w:t>/31101/2486</w:t>
      </w:r>
      <w:r w:rsidRPr="008D76D8">
        <w:rPr>
          <w:b/>
          <w:lang w:val="en-US"/>
        </w:rPr>
        <w:t>/GW/21</w:t>
      </w:r>
    </w:p>
    <w:p w:rsidR="00F37C03" w:rsidRDefault="00F37C03" w:rsidP="008D76D8">
      <w:pPr>
        <w:pStyle w:val="Nagwek1"/>
      </w:pPr>
      <w:r w:rsidRPr="00F2470C">
        <w:t>INTERPRETACJA INDYWIDUALNA</w:t>
      </w:r>
    </w:p>
    <w:p w:rsidR="00F37C03" w:rsidRPr="008D76D8" w:rsidRDefault="00F37C03" w:rsidP="008D76D8">
      <w:pPr>
        <w:pStyle w:val="Nagwek2"/>
        <w:numPr>
          <w:ilvl w:val="0"/>
          <w:numId w:val="4"/>
        </w:numPr>
      </w:pPr>
      <w:r w:rsidRPr="008D76D8">
        <w:t>Podstawa prawna interpretacji</w:t>
      </w:r>
    </w:p>
    <w:p w:rsidR="00F37C03" w:rsidRDefault="00F37C03" w:rsidP="008D76D8">
      <w:r w:rsidRPr="00F2470C">
        <w:t>Art. 14j § 1 ustawy z dnia 29 sierpnia 1997 r. - Ordynacja podatkowa (Dz. U. z 20</w:t>
      </w:r>
      <w:r>
        <w:t>20</w:t>
      </w:r>
      <w:r w:rsidRPr="00F2470C">
        <w:t xml:space="preserve"> r. poz. </w:t>
      </w:r>
      <w:r>
        <w:t>1325,</w:t>
      </w:r>
      <w:r w:rsidRPr="00F2470C">
        <w:t xml:space="preserve"> z </w:t>
      </w:r>
      <w:proofErr w:type="spellStart"/>
      <w:r w:rsidRPr="00F2470C">
        <w:t>późn</w:t>
      </w:r>
      <w:proofErr w:type="spellEnd"/>
      <w:r w:rsidRPr="00F2470C">
        <w:t>. zm.).</w:t>
      </w:r>
    </w:p>
    <w:p w:rsidR="008D028E" w:rsidRPr="008D028E" w:rsidRDefault="008D028E" w:rsidP="008D76D8">
      <w:pPr>
        <w:pStyle w:val="Nagwek2"/>
        <w:numPr>
          <w:ilvl w:val="0"/>
          <w:numId w:val="4"/>
        </w:numPr>
      </w:pPr>
      <w:r w:rsidRPr="008D028E">
        <w:t>Rozstrzygnięcie</w:t>
      </w:r>
    </w:p>
    <w:p w:rsidR="008D028E" w:rsidRDefault="008D028E" w:rsidP="008D76D8">
      <w:r w:rsidRPr="00F2470C">
        <w:t xml:space="preserve">Po rozpatrzeniu wniosku </w:t>
      </w:r>
      <w:r>
        <w:t xml:space="preserve">Pani </w:t>
      </w:r>
      <w:r w:rsidR="008D76D8">
        <w:t>(…)</w:t>
      </w:r>
      <w:r>
        <w:t xml:space="preserve"> </w:t>
      </w:r>
      <w:r w:rsidRPr="00F2470C">
        <w:t>(dalej jako „</w:t>
      </w:r>
      <w:r>
        <w:t>Wnioskodawca</w:t>
      </w:r>
      <w:r w:rsidRPr="00F2470C">
        <w:t>”) z dnia</w:t>
      </w:r>
      <w:r>
        <w:t xml:space="preserve"> 22 lutego </w:t>
      </w:r>
      <w:r w:rsidRPr="00F2470C">
        <w:t>20</w:t>
      </w:r>
      <w:r>
        <w:t>21</w:t>
      </w:r>
      <w:r w:rsidRPr="00F2470C">
        <w:t xml:space="preserve"> r. w</w:t>
      </w:r>
      <w:r w:rsidR="008D76D8">
        <w:t> </w:t>
      </w:r>
      <w:r w:rsidRPr="00F2470C">
        <w:t>sprawie udzielenia indywidualnej interpretacji przepisów prawa podatkowego w zakresie podatku od nieruchomości (wpływ do organu podatkowego w dniu</w:t>
      </w:r>
      <w:r>
        <w:t xml:space="preserve"> 3 marca </w:t>
      </w:r>
      <w:r w:rsidRPr="00F2470C">
        <w:t>20</w:t>
      </w:r>
      <w:r>
        <w:t xml:space="preserve">21 r.), </w:t>
      </w:r>
      <w:r w:rsidRPr="00F2470C">
        <w:t>postanawiam uznać stanowisko przedstawione we wniosku</w:t>
      </w:r>
      <w:r>
        <w:t xml:space="preserve"> </w:t>
      </w:r>
      <w:r w:rsidRPr="00F2470C">
        <w:t>za prawidłowe w obowiązującym stanie prawnym.</w:t>
      </w:r>
    </w:p>
    <w:p w:rsidR="008D028E" w:rsidRPr="00F37C03" w:rsidRDefault="008D028E" w:rsidP="008D76D8">
      <w:pPr>
        <w:pStyle w:val="Nagwek2"/>
        <w:numPr>
          <w:ilvl w:val="0"/>
          <w:numId w:val="4"/>
        </w:numPr>
      </w:pPr>
      <w:r w:rsidRPr="00F2470C">
        <w:t>Stan faktyczny/zdarzenie przyszłe przedstawione we wniosku</w:t>
      </w:r>
    </w:p>
    <w:p w:rsidR="008D028E" w:rsidRDefault="008D028E" w:rsidP="008D76D8">
      <w:r w:rsidRPr="00F2470C">
        <w:t>Z treści przedłożonego wniosku o udzielenie indywidualnej interpretacji przepisów prawa podatkowego w</w:t>
      </w:r>
      <w:r w:rsidR="008D76D8">
        <w:t> </w:t>
      </w:r>
      <w:r w:rsidRPr="00F2470C">
        <w:t xml:space="preserve"> zakresie podatku od nieruchomości </w:t>
      </w:r>
      <w:r>
        <w:t xml:space="preserve">(dalej jako „wniosek”) </w:t>
      </w:r>
      <w:r w:rsidRPr="00F2470C">
        <w:t xml:space="preserve">wynika, iż </w:t>
      </w:r>
      <w:r>
        <w:t xml:space="preserve">Wnioskodawca jest współwłaścicielem lokalu mieszkalnego, położonego na terenie </w:t>
      </w:r>
      <w:r w:rsidR="008D76D8">
        <w:t>(…)</w:t>
      </w:r>
      <w:r>
        <w:t>. Wnioskodawca jest przedsiębiorcą prowadzącym działalność gospodarczą w zakresie między innymi usług budowlanych oraz sprzedaży i montażu mebli, planującym poszerzenie kręgu adresatów prowadzonej działalności gospodarczej poprzez otwarcie biura na</w:t>
      </w:r>
      <w:r w:rsidR="008D76D8">
        <w:t> </w:t>
      </w:r>
      <w:r>
        <w:t xml:space="preserve"> terenie </w:t>
      </w:r>
      <w:r w:rsidR="008D76D8">
        <w:t>(…)</w:t>
      </w:r>
      <w:r>
        <w:t>. Do</w:t>
      </w:r>
      <w:r w:rsidR="008D76D8">
        <w:t> </w:t>
      </w:r>
      <w:r>
        <w:t>tego celu Wnioskodawca planuje wykorzystać lokal mieszkalny (o którym mowa we</w:t>
      </w:r>
      <w:r w:rsidR="008D76D8">
        <w:t> </w:t>
      </w:r>
      <w:r>
        <w:t xml:space="preserve">wniosku), w którym zostaną ulokowane podstawowe meble biurowe, takie jak: biurko, krzesło, szafa na segregatory, zostanie zapewniony również dostęp do </w:t>
      </w:r>
      <w:proofErr w:type="spellStart"/>
      <w:r>
        <w:t>internetu</w:t>
      </w:r>
      <w:proofErr w:type="spellEnd"/>
      <w:r>
        <w:t>. W lokalu nie planuje się prac remontowych lub adaptacyjnych, zmieniających jego aktualne przeznaczenie (lokal mieszkalny). Część lokalu (ok. 10 m</w:t>
      </w:r>
      <w:r>
        <w:rPr>
          <w:vertAlign w:val="superscript"/>
        </w:rPr>
        <w:t>2</w:t>
      </w:r>
      <w:r>
        <w:t>) przeznaczona do działalności gospodarczej, nie będzie wydzielona od części mieszkalnej oraz nie będą przyjmowani interesanci. Ponadto wydzielona na prowadzenie działalności gospodarczej część lokalu w dalszym ciągu służyć będzie celom mieszkalnym.</w:t>
      </w:r>
    </w:p>
    <w:p w:rsidR="008D028E" w:rsidRDefault="008D028E" w:rsidP="008D76D8">
      <w:r>
        <w:t>W związku z tak opisanym stanem faktycznym, pytanie Wnioskodawcy dotyczy tego, „(…) Czy do mieszkania, które nie straciło swojego mieszkalnego charakteru, wykorzystywanego również w związku z prowadzoną działalnością gospodarczą powinny być zastosowane stawki podatku od nieruchomości dla budynku mieszkalnego?”.</w:t>
      </w:r>
    </w:p>
    <w:p w:rsidR="008D028E" w:rsidRPr="008D028E" w:rsidRDefault="008D028E" w:rsidP="008D76D8">
      <w:pPr>
        <w:pStyle w:val="Nagwek2"/>
        <w:numPr>
          <w:ilvl w:val="0"/>
          <w:numId w:val="4"/>
        </w:numPr>
      </w:pPr>
      <w:r w:rsidRPr="008D028E">
        <w:lastRenderedPageBreak/>
        <w:t>Stanowisko wnioskodawcy</w:t>
      </w:r>
    </w:p>
    <w:p w:rsidR="008D028E" w:rsidRDefault="008D028E" w:rsidP="008D76D8">
      <w:r w:rsidRPr="00F2470C">
        <w:t xml:space="preserve">Zdaniem </w:t>
      </w:r>
      <w:r>
        <w:t>Wnioskodawcy</w:t>
      </w:r>
      <w:r w:rsidRPr="00F2470C">
        <w:t>, zawartym w złożonym wniosku, „(…)</w:t>
      </w:r>
      <w:r>
        <w:t xml:space="preserve"> jeżeli lokal mieszkalny lub jego część został zajęty na prowadzenie działalności gospodarczej, ale powierzchnie zajmowane na prowadzenie działalności gospodarczej służą jednocześnie celom mieszkalnym, to będą one korzystały ze stawki określonej w art. 5 ust. 1</w:t>
      </w:r>
      <w:r w:rsidR="008D76D8">
        <w:t xml:space="preserve"> </w:t>
      </w:r>
      <w:r>
        <w:t xml:space="preserve">pkt 2 lit. a) ustawy o podatkach i opłatach lokalnych, tj. jak dla budynków mieszkalnych </w:t>
      </w:r>
      <w:r w:rsidRPr="00F2470C">
        <w:t>(…)”.</w:t>
      </w:r>
    </w:p>
    <w:p w:rsidR="008D028E" w:rsidRPr="00F2470C" w:rsidRDefault="008D028E" w:rsidP="008D76D8">
      <w:pPr>
        <w:pStyle w:val="Nagwek2"/>
        <w:numPr>
          <w:ilvl w:val="0"/>
          <w:numId w:val="4"/>
        </w:numPr>
      </w:pPr>
      <w:r w:rsidRPr="00F2470C">
        <w:t>Ocena stanowiska wnioskodawcy wraz z uzasadnieniem prawnym</w:t>
      </w:r>
    </w:p>
    <w:p w:rsidR="008D028E" w:rsidRDefault="008D028E" w:rsidP="008D76D8">
      <w:r>
        <w:t>Na podstawie stanu faktycznego, opisanego we wniosku, p</w:t>
      </w:r>
      <w:r w:rsidRPr="006E3DF1">
        <w:t xml:space="preserve">ostanawiam uznać stanowisko Wnioskodawcy </w:t>
      </w:r>
      <w:r>
        <w:t>za</w:t>
      </w:r>
      <w:r w:rsidR="008D76D8">
        <w:t> </w:t>
      </w:r>
      <w:r>
        <w:t>prawidłowe w obowiązującym stanie prawnym.</w:t>
      </w:r>
    </w:p>
    <w:p w:rsidR="008D028E" w:rsidRDefault="008D028E" w:rsidP="008D76D8">
      <w:r>
        <w:t xml:space="preserve">Na podstawie przepisu art. </w:t>
      </w:r>
      <w:r w:rsidRPr="00BD3F22">
        <w:t>14c § 1 zdanie drugie ustawy</w:t>
      </w:r>
      <w:r>
        <w:t xml:space="preserve"> -</w:t>
      </w:r>
      <w:r w:rsidRPr="00BD3F22">
        <w:t xml:space="preserve"> Ordynacja podatkowa,</w:t>
      </w:r>
      <w:r>
        <w:t xml:space="preserve"> odstępuję od</w:t>
      </w:r>
      <w:r w:rsidRPr="00BD3F22">
        <w:t xml:space="preserve"> </w:t>
      </w:r>
      <w:r>
        <w:t>uzasadnienia prawnego.</w:t>
      </w:r>
    </w:p>
    <w:p w:rsidR="00F37C03" w:rsidRDefault="008D028E" w:rsidP="008D76D8">
      <w:r>
        <w:t>Zgodnie z w/w przepisem,</w:t>
      </w:r>
      <w:r w:rsidRPr="00BD3F22">
        <w:t xml:space="preserve"> jeżeli stanowisko wnioskodawcy jest prawidłowe w pełnym</w:t>
      </w:r>
      <w:r>
        <w:t xml:space="preserve"> zakresie, można odstąpić od uzasadnienia prawnego. W związku z faktem, </w:t>
      </w:r>
      <w:r w:rsidRPr="00BD3F22">
        <w:t xml:space="preserve">iż stanowisko </w:t>
      </w:r>
      <w:r>
        <w:t>Wnioskodawcy uznane zostało za prawidłowe w</w:t>
      </w:r>
      <w:r w:rsidR="008D76D8">
        <w:t> </w:t>
      </w:r>
      <w:r>
        <w:t>pełnym zakresie</w:t>
      </w:r>
      <w:r w:rsidRPr="00BD3F22">
        <w:t>, odstąpiono od uzasadnienia</w:t>
      </w:r>
      <w:r>
        <w:t xml:space="preserve"> prawnego</w:t>
      </w:r>
      <w:r w:rsidRPr="00BD3F22">
        <w:t>.</w:t>
      </w:r>
    </w:p>
    <w:p w:rsidR="008D028E" w:rsidRDefault="008D028E" w:rsidP="008D76D8">
      <w:pPr>
        <w:pStyle w:val="Nagwek2"/>
        <w:numPr>
          <w:ilvl w:val="0"/>
          <w:numId w:val="4"/>
        </w:numPr>
      </w:pPr>
      <w:r w:rsidRPr="008D028E">
        <w:t>Pouczenie</w:t>
      </w:r>
    </w:p>
    <w:p w:rsidR="008D028E" w:rsidRPr="00F2470C" w:rsidRDefault="008D028E" w:rsidP="008D76D8">
      <w:r w:rsidRPr="00F2470C">
        <w:t>Wnioskodawcy przysługuje prawo do wniesienia skargi na niniejszą interpretację przepisów prawa podatkowego. Skargę wnosi się do Wojewódzkiego Sądu Administracyjnego w Warszawie w terminie 30 dni od dnia doręczenia Spółce interpretacji przepisów prawa podatkowego (art. 53 § 1</w:t>
      </w:r>
      <w:r w:rsidR="00163242">
        <w:t xml:space="preserve"> ustawy z dnia 30 sierpnia 2002 </w:t>
      </w:r>
      <w:r w:rsidRPr="00F2470C">
        <w:t xml:space="preserve">r. – Prawa o postępowaniu przed sądami administracyjnymi – Dz. U. z 2019 r. poz. 2325, </w:t>
      </w:r>
      <w:r w:rsidR="00163242">
        <w:t xml:space="preserve">z </w:t>
      </w:r>
      <w:proofErr w:type="spellStart"/>
      <w:r w:rsidR="00163242">
        <w:t>późn</w:t>
      </w:r>
      <w:proofErr w:type="spellEnd"/>
      <w:r w:rsidR="00163242">
        <w:t xml:space="preserve">. zm.). Skargę wnosi się </w:t>
      </w:r>
      <w:r w:rsidRPr="00F2470C">
        <w:t>za pośrednictwem Prezydenta m.st. Warszawy – Centrum Obsługi Podatnika, ul. Obozowa 57, 01-161</w:t>
      </w:r>
      <w:r>
        <w:t xml:space="preserve"> Warszawa (adres do korespondencji: ul. Kredytowa 3, 00-056 Warszawa). </w:t>
      </w:r>
      <w:r w:rsidRPr="00F2470C">
        <w:t xml:space="preserve"> </w:t>
      </w:r>
    </w:p>
    <w:p w:rsidR="00CC121D" w:rsidRPr="00CC121D" w:rsidRDefault="00CC121D" w:rsidP="00595B75">
      <w:pPr>
        <w:ind w:left="6379"/>
        <w:contextualSpacing/>
        <w:rPr>
          <w:rFonts w:cstheme="minorHAnsi"/>
          <w:b/>
        </w:rPr>
      </w:pPr>
      <w:r w:rsidRPr="00CC121D">
        <w:rPr>
          <w:rFonts w:cstheme="minorHAnsi"/>
        </w:rPr>
        <w:t>Z up. PREZYDENTA M.ST WARSZAWY</w:t>
      </w:r>
    </w:p>
    <w:p w:rsidR="008D76D8" w:rsidRDefault="008D76D8" w:rsidP="00595B75">
      <w:pPr>
        <w:ind w:left="8080"/>
        <w:contextualSpacing/>
        <w:rPr>
          <w:rFonts w:cstheme="minorHAnsi"/>
        </w:rPr>
      </w:pPr>
      <w:r>
        <w:rPr>
          <w:rFonts w:cstheme="minorHAnsi"/>
        </w:rPr>
        <w:t>/-/</w:t>
      </w:r>
    </w:p>
    <w:p w:rsidR="00CC121D" w:rsidRPr="00CC121D" w:rsidRDefault="00CC121D" w:rsidP="00595B75">
      <w:pPr>
        <w:ind w:left="7088"/>
        <w:contextualSpacing/>
        <w:rPr>
          <w:rFonts w:cstheme="minorHAnsi"/>
          <w:b/>
        </w:rPr>
      </w:pPr>
      <w:r w:rsidRPr="00CC121D">
        <w:rPr>
          <w:rFonts w:cstheme="minorHAnsi"/>
        </w:rPr>
        <w:t>Róża Joanna Gutkowska</w:t>
      </w:r>
    </w:p>
    <w:p w:rsidR="00CC121D" w:rsidRPr="00595B75" w:rsidRDefault="00CC121D" w:rsidP="00595B75">
      <w:pPr>
        <w:ind w:left="7371"/>
        <w:contextualSpacing/>
        <w:rPr>
          <w:rFonts w:cstheme="minorHAnsi"/>
          <w:b/>
        </w:rPr>
      </w:pPr>
      <w:r w:rsidRPr="00595B75">
        <w:rPr>
          <w:rFonts w:cstheme="minorHAnsi"/>
        </w:rPr>
        <w:t>Zastępca Skarbnika</w:t>
      </w:r>
    </w:p>
    <w:p w:rsidR="00CC121D" w:rsidRPr="00595B75" w:rsidRDefault="00CC121D" w:rsidP="00595B75">
      <w:pPr>
        <w:ind w:left="7513"/>
        <w:contextualSpacing/>
        <w:rPr>
          <w:rFonts w:cstheme="minorHAnsi"/>
          <w:b/>
        </w:rPr>
      </w:pPr>
      <w:r w:rsidRPr="00595B75">
        <w:rPr>
          <w:rFonts w:cstheme="minorHAnsi"/>
        </w:rPr>
        <w:t>m.st. Warszawy</w:t>
      </w:r>
    </w:p>
    <w:sectPr w:rsidR="00CC121D" w:rsidRPr="00595B75" w:rsidSect="00F37C03">
      <w:footerReference w:type="default" r:id="rId8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07" w:rsidRDefault="00270907" w:rsidP="008D028E">
      <w:pPr>
        <w:spacing w:after="0" w:line="240" w:lineRule="auto"/>
      </w:pPr>
      <w:r>
        <w:separator/>
      </w:r>
    </w:p>
  </w:endnote>
  <w:endnote w:type="continuationSeparator" w:id="0">
    <w:p w:rsidR="00270907" w:rsidRDefault="00270907" w:rsidP="008D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28E" w:rsidRPr="008D76D8" w:rsidRDefault="008D028E" w:rsidP="008D76D8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0"/>
      <w:contextualSpacing/>
      <w:rPr>
        <w:rFonts w:asciiTheme="minorHAnsi" w:hAnsiTheme="minorHAnsi" w:cstheme="minorHAnsi"/>
        <w:sz w:val="22"/>
        <w:szCs w:val="22"/>
      </w:rPr>
    </w:pPr>
    <w:r w:rsidRPr="008D76D8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8D028E" w:rsidRPr="008D76D8" w:rsidRDefault="008D028E" w:rsidP="008D76D8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0"/>
      <w:contextualSpacing/>
      <w:rPr>
        <w:rFonts w:asciiTheme="minorHAnsi" w:hAnsiTheme="minorHAnsi" w:cstheme="minorHAnsi"/>
        <w:sz w:val="22"/>
        <w:szCs w:val="22"/>
      </w:rPr>
    </w:pPr>
    <w:r w:rsidRPr="008D76D8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8D028E" w:rsidRPr="008D76D8" w:rsidRDefault="008D028E" w:rsidP="008D76D8">
    <w:pPr>
      <w:pStyle w:val="Teksttreci30"/>
      <w:pBdr>
        <w:top w:val="single" w:sz="4" w:space="1" w:color="auto"/>
      </w:pBdr>
      <w:shd w:val="clear" w:color="auto" w:fill="auto"/>
      <w:spacing w:before="0" w:after="240" w:line="300" w:lineRule="auto"/>
      <w:ind w:left="140"/>
      <w:contextualSpacing/>
      <w:rPr>
        <w:rFonts w:asciiTheme="minorHAnsi" w:hAnsiTheme="minorHAnsi" w:cstheme="minorHAnsi"/>
        <w:sz w:val="22"/>
        <w:szCs w:val="22"/>
      </w:rPr>
    </w:pPr>
    <w:r w:rsidRPr="008D76D8">
      <w:rPr>
        <w:rFonts w:asciiTheme="minorHAnsi" w:hAnsiTheme="minorHAnsi" w:cstheme="minorHAnsi"/>
        <w:sz w:val="22"/>
        <w:szCs w:val="22"/>
      </w:rPr>
      <w:t>tel. +48224430962</w:t>
    </w:r>
  </w:p>
  <w:p w:rsidR="008D028E" w:rsidRPr="008D76D8" w:rsidRDefault="008D028E" w:rsidP="008D76D8">
    <w:pPr>
      <w:pStyle w:val="Stopka"/>
      <w:spacing w:after="240" w:line="300" w:lineRule="auto"/>
      <w:contextualSpacing/>
      <w:jc w:val="center"/>
      <w:rPr>
        <w:rFonts w:cstheme="minorHAnsi"/>
        <w:b/>
      </w:rPr>
    </w:pPr>
    <w:r w:rsidRPr="008D76D8">
      <w:rPr>
        <w:rFonts w:cstheme="minorHAnsi"/>
        <w:b/>
      </w:rPr>
      <w:fldChar w:fldCharType="begin"/>
    </w:r>
    <w:r w:rsidRPr="008D76D8">
      <w:rPr>
        <w:rFonts w:cstheme="minorHAnsi"/>
        <w:b/>
      </w:rPr>
      <w:instrText>PAGE  \* Arabic  \* MERGEFORMAT</w:instrText>
    </w:r>
    <w:r w:rsidRPr="008D76D8">
      <w:rPr>
        <w:rFonts w:cstheme="minorHAnsi"/>
        <w:b/>
      </w:rPr>
      <w:fldChar w:fldCharType="separate"/>
    </w:r>
    <w:r w:rsidR="00BC0CC9">
      <w:rPr>
        <w:rFonts w:cstheme="minorHAnsi"/>
        <w:b/>
        <w:noProof/>
      </w:rPr>
      <w:t>1</w:t>
    </w:r>
    <w:r w:rsidRPr="008D76D8">
      <w:rPr>
        <w:rFonts w:cstheme="minorHAnsi"/>
        <w:b/>
      </w:rPr>
      <w:fldChar w:fldCharType="end"/>
    </w:r>
    <w:r w:rsidRPr="008D76D8">
      <w:rPr>
        <w:rFonts w:cstheme="minorHAnsi"/>
        <w:b/>
      </w:rPr>
      <w:t xml:space="preserve"> z </w:t>
    </w:r>
    <w:r w:rsidRPr="008D76D8">
      <w:rPr>
        <w:rFonts w:cstheme="minorHAnsi"/>
        <w:b/>
      </w:rPr>
      <w:fldChar w:fldCharType="begin"/>
    </w:r>
    <w:r w:rsidRPr="008D76D8">
      <w:rPr>
        <w:rFonts w:cstheme="minorHAnsi"/>
        <w:b/>
      </w:rPr>
      <w:instrText>NUMPAGES \ * arabskie \ * MERGEFORMAT</w:instrText>
    </w:r>
    <w:r w:rsidRPr="008D76D8">
      <w:rPr>
        <w:rFonts w:cstheme="minorHAnsi"/>
        <w:b/>
      </w:rPr>
      <w:fldChar w:fldCharType="separate"/>
    </w:r>
    <w:r w:rsidR="00BC0CC9">
      <w:rPr>
        <w:rFonts w:cstheme="minorHAnsi"/>
        <w:b/>
        <w:noProof/>
      </w:rPr>
      <w:t>2</w:t>
    </w:r>
    <w:r w:rsidRPr="008D76D8">
      <w:rPr>
        <w:rFonts w:cstheme="minorHAnsi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07" w:rsidRDefault="00270907" w:rsidP="008D028E">
      <w:pPr>
        <w:spacing w:after="0" w:line="240" w:lineRule="auto"/>
      </w:pPr>
      <w:r>
        <w:separator/>
      </w:r>
    </w:p>
  </w:footnote>
  <w:footnote w:type="continuationSeparator" w:id="0">
    <w:p w:rsidR="00270907" w:rsidRDefault="00270907" w:rsidP="008D0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0D0F"/>
    <w:multiLevelType w:val="hybridMultilevel"/>
    <w:tmpl w:val="9D6CBD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C2C12"/>
    <w:multiLevelType w:val="hybridMultilevel"/>
    <w:tmpl w:val="F0AED290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D446BA"/>
    <w:multiLevelType w:val="hybridMultilevel"/>
    <w:tmpl w:val="CA40A7B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421FB9"/>
    <w:multiLevelType w:val="hybridMultilevel"/>
    <w:tmpl w:val="434C4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03"/>
    <w:rsid w:val="000B2EA3"/>
    <w:rsid w:val="00163242"/>
    <w:rsid w:val="00270907"/>
    <w:rsid w:val="00595B75"/>
    <w:rsid w:val="008D028E"/>
    <w:rsid w:val="008D76D8"/>
    <w:rsid w:val="00BC0CC9"/>
    <w:rsid w:val="00CC121D"/>
    <w:rsid w:val="00D629D6"/>
    <w:rsid w:val="00F37C03"/>
    <w:rsid w:val="00F5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102581D-22BB-4DDC-BCF2-9875DE09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6D8"/>
    <w:pPr>
      <w:spacing w:after="240" w:line="300" w:lineRule="auto"/>
    </w:pPr>
  </w:style>
  <w:style w:type="paragraph" w:styleId="Nagwek1">
    <w:name w:val="heading 1"/>
    <w:basedOn w:val="Normalny"/>
    <w:link w:val="Nagwek1Znak"/>
    <w:qFormat/>
    <w:rsid w:val="008D76D8"/>
    <w:pPr>
      <w:overflowPunct w:val="0"/>
      <w:autoSpaceDE w:val="0"/>
      <w:autoSpaceDN w:val="0"/>
      <w:adjustRightInd w:val="0"/>
      <w:spacing w:before="720"/>
      <w:ind w:left="369" w:hanging="369"/>
      <w:outlineLvl w:val="0"/>
    </w:pPr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D76D8"/>
    <w:pPr>
      <w:keepNext/>
      <w:keepLines/>
      <w:outlineLvl w:val="1"/>
    </w:pPr>
    <w:rPr>
      <w:rFonts w:ascii="Calibri" w:eastAsiaTheme="majorEastAsia" w:hAnsi="Calibr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D76D8"/>
    <w:rPr>
      <w:rFonts w:ascii="Calibri" w:eastAsia="Times New Roman" w:hAnsi="Calibri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37C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028E"/>
  </w:style>
  <w:style w:type="paragraph" w:styleId="Stopka">
    <w:name w:val="footer"/>
    <w:basedOn w:val="Normalny"/>
    <w:link w:val="StopkaZnak"/>
    <w:uiPriority w:val="99"/>
    <w:unhideWhenUsed/>
    <w:rsid w:val="008D02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028E"/>
  </w:style>
  <w:style w:type="character" w:customStyle="1" w:styleId="Teksttreci3">
    <w:name w:val="Tekst treści (3)_"/>
    <w:link w:val="Teksttreci30"/>
    <w:rsid w:val="008D028E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D028E"/>
    <w:pPr>
      <w:widowControl w:val="0"/>
      <w:shd w:val="clear" w:color="auto" w:fill="FFFFFF"/>
      <w:spacing w:before="2100" w:after="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8D76D8"/>
    <w:rPr>
      <w:rFonts w:ascii="Calibri" w:eastAsiaTheme="majorEastAsia" w:hAnsi="Calibri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C17A4-2A9B-4D94-8A00-DF1854887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554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Urzad Miasta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Gmur Kinga (COP)</dc:creator>
  <cp:keywords/>
  <dc:description/>
  <cp:lastModifiedBy>Wawer Jakub (COP)</cp:lastModifiedBy>
  <cp:revision>5</cp:revision>
  <cp:lastPrinted>2023-02-17T12:24:00Z</cp:lastPrinted>
  <dcterms:created xsi:type="dcterms:W3CDTF">2021-09-21T08:26:00Z</dcterms:created>
  <dcterms:modified xsi:type="dcterms:W3CDTF">2023-02-17T12:24:00Z</dcterms:modified>
</cp:coreProperties>
</file>