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50" w:rsidRDefault="00217D50" w:rsidP="0074545E">
      <w:pPr>
        <w:jc w:val="right"/>
      </w:pPr>
      <w:r w:rsidRPr="009D43EE">
        <w:t xml:space="preserve">Warszawa, </w:t>
      </w:r>
      <w:r>
        <w:t>2019-11-27</w:t>
      </w:r>
    </w:p>
    <w:p w:rsidR="00A03367" w:rsidRPr="0074545E" w:rsidRDefault="00217D50" w:rsidP="0074545E">
      <w:pPr>
        <w:rPr>
          <w:b/>
        </w:rPr>
      </w:pPr>
      <w:r w:rsidRPr="0074545E">
        <w:rPr>
          <w:b/>
        </w:rPr>
        <w:t>PREZYDENT MIASTA STOŁECZNEGO WARSZAWY</w:t>
      </w:r>
    </w:p>
    <w:p w:rsidR="00217D50" w:rsidRPr="0074545E" w:rsidRDefault="00217D50" w:rsidP="0074545E">
      <w:pPr>
        <w:rPr>
          <w:b/>
          <w:lang w:val="en-US"/>
        </w:rPr>
      </w:pPr>
      <w:r w:rsidRPr="0074545E">
        <w:rPr>
          <w:b/>
          <w:lang w:val="en-US"/>
        </w:rPr>
        <w:t>PE-OP.3120.254.2016.BPO</w:t>
      </w:r>
    </w:p>
    <w:p w:rsidR="00217D50" w:rsidRPr="0074545E" w:rsidRDefault="00217D50" w:rsidP="0074545E">
      <w:pPr>
        <w:rPr>
          <w:rFonts w:cs="Calibri"/>
          <w:b/>
          <w:lang w:val="en-US"/>
        </w:rPr>
      </w:pPr>
      <w:r w:rsidRPr="0074545E">
        <w:rPr>
          <w:rFonts w:cs="Calibri"/>
          <w:b/>
          <w:lang w:val="en-US"/>
        </w:rPr>
        <w:t>COP-13/31101/2724 /GW/19</w:t>
      </w:r>
    </w:p>
    <w:p w:rsidR="00217D50" w:rsidRPr="009D43EE" w:rsidRDefault="00217D50" w:rsidP="0074545E">
      <w:pPr>
        <w:pStyle w:val="Nagwek1"/>
      </w:pPr>
      <w:r w:rsidRPr="009D43EE">
        <w:t>INTERPRETACJA INDYWIDUALNA</w:t>
      </w:r>
    </w:p>
    <w:p w:rsidR="00217D50" w:rsidRDefault="00217D50" w:rsidP="0074545E">
      <w:pPr>
        <w:pStyle w:val="Nagwek2"/>
        <w:numPr>
          <w:ilvl w:val="0"/>
          <w:numId w:val="2"/>
        </w:numPr>
      </w:pPr>
      <w:r w:rsidRPr="00217D50">
        <w:t>Podstawa prawna interpretacji</w:t>
      </w:r>
    </w:p>
    <w:p w:rsidR="00217D50" w:rsidRDefault="00217D50" w:rsidP="0074545E">
      <w:pPr>
        <w:rPr>
          <w:b/>
        </w:rPr>
      </w:pPr>
      <w:r w:rsidRPr="00217D50">
        <w:t xml:space="preserve">Art. 14j § 1 ustawy z dnia 29 sierpnia 1997 r. - Ordynacja podatkowa (Dz. U. z 2019 r. poz. 900, z </w:t>
      </w:r>
      <w:proofErr w:type="spellStart"/>
      <w:r w:rsidRPr="00217D50">
        <w:t>późn</w:t>
      </w:r>
      <w:proofErr w:type="spellEnd"/>
      <w:r w:rsidRPr="00217D50">
        <w:t>. zm.)</w:t>
      </w:r>
    </w:p>
    <w:p w:rsidR="00217D50" w:rsidRDefault="00217D50" w:rsidP="0074545E">
      <w:pPr>
        <w:pStyle w:val="Nagwek2"/>
        <w:numPr>
          <w:ilvl w:val="0"/>
          <w:numId w:val="2"/>
        </w:numPr>
      </w:pPr>
      <w:r w:rsidRPr="00217D50">
        <w:t>Rozstrzygnięcie</w:t>
      </w:r>
    </w:p>
    <w:p w:rsidR="00217D50" w:rsidRPr="00217D50" w:rsidRDefault="00217D50" w:rsidP="006C63D8">
      <w:pPr>
        <w:rPr>
          <w:b/>
        </w:rPr>
      </w:pPr>
      <w:r w:rsidRPr="00217D50">
        <w:t xml:space="preserve">Po ponownym rozpatrzeniu wniosku </w:t>
      </w:r>
      <w:r w:rsidR="006C63D8">
        <w:t>(…)</w:t>
      </w:r>
      <w:r w:rsidR="00195F74">
        <w:t xml:space="preserve"> </w:t>
      </w:r>
      <w:r w:rsidRPr="00217D50">
        <w:t>(dalej jako „</w:t>
      </w:r>
      <w:bookmarkStart w:id="0" w:name="_GoBack"/>
      <w:r w:rsidRPr="00217D50">
        <w:t>Zakład</w:t>
      </w:r>
      <w:bookmarkEnd w:id="0"/>
      <w:r w:rsidRPr="00217D50">
        <w:t xml:space="preserve">”) z siedzibą w </w:t>
      </w:r>
      <w:r w:rsidR="006C63D8">
        <w:t>(…)</w:t>
      </w:r>
      <w:r w:rsidRPr="00217D50">
        <w:t xml:space="preserve"> przy </w:t>
      </w:r>
      <w:r w:rsidR="006C63D8">
        <w:t>(…)</w:t>
      </w:r>
      <w:r w:rsidR="00195F74">
        <w:t xml:space="preserve"> </w:t>
      </w:r>
      <w:r w:rsidRPr="00217D50">
        <w:t>z dnia 10 maja 2016 r. (wpływ do organu podatkowego w dniu 13 maja 2016 r.) w sprawie udzielenia pisemnej interpretacji przepisów prawa podatkowego w zakresie podatku od nieruchomości (dalej jako „wniosek”), uzupełnionego w dniu 28 października 2019 r. pismem z dnia 23 października 2019 r., postanawiam uznać stanowisko Zakładu – w przedstawionym stanie faktycznym - za prawidłowe w obowiązującym stanie prawnym.</w:t>
      </w:r>
    </w:p>
    <w:p w:rsidR="00217D50" w:rsidRPr="00217D50" w:rsidRDefault="00217D50" w:rsidP="0074545E">
      <w:pPr>
        <w:pStyle w:val="Nagwek2"/>
        <w:numPr>
          <w:ilvl w:val="0"/>
          <w:numId w:val="2"/>
        </w:numPr>
      </w:pPr>
      <w:r w:rsidRPr="00217D50">
        <w:t>Stan faktyczny/zdarzenie przyszłe przedstawione we wniosku</w:t>
      </w:r>
    </w:p>
    <w:p w:rsidR="00217D50" w:rsidRPr="009D43EE" w:rsidRDefault="00217D50" w:rsidP="003C6BF2">
      <w:r w:rsidRPr="009D43EE">
        <w:t>Z treści przedłożonego wniosku oraz jego uzupełnienia z dnia 23 października 2019 r. wynika, iż Zakład jest jednostką organizacyjną m.st. Warszawy, działającą w formie samorządowego zakładu budżetowego m.st. Warszawy. Stosownie do postanowień Statutu Zakładu, przedmiotem działalności Zakładu jest realizacji zadań własnych m.st. Warszawy w zakresie dróg, ulic, mostów, placów oraz organizacji ruchu drogowego. Zakład podczas wykonywania robót remontowych oraz inwestycyjnych, prowadzonych na terenie m.st. Warszawy, wykorzystuje przenośne kontenery na zaplecze sanitarne i gospodarcze oraz przenośne kontenery szatniowe i</w:t>
      </w:r>
      <w:r w:rsidR="006C63D8">
        <w:t> </w:t>
      </w:r>
      <w:r w:rsidRPr="009D43EE">
        <w:t xml:space="preserve"> socjalne, zlokalizowane na terenie wydziałów drogowych. Ponadto w piśmie z dnia 23 października 2019 roku (stanowiącym uzupełnienie wniosku), Zakład poinformował organ podatkowy, iż „(…) kontenery użytkowane przez </w:t>
      </w:r>
      <w:r w:rsidR="006C63D8">
        <w:t>(…)</w:t>
      </w:r>
      <w:r w:rsidRPr="009D43EE">
        <w:t xml:space="preserve"> są wyprodukowane przez producentów ze stali (…). Kontenery zostały zakupione jako gotowy produkt, nikt ich nie wznosił”.</w:t>
      </w:r>
    </w:p>
    <w:p w:rsidR="00217D50" w:rsidRPr="009D43EE" w:rsidRDefault="00217D50" w:rsidP="003C6BF2">
      <w:r w:rsidRPr="009D43EE">
        <w:t xml:space="preserve">W świetle tak przedstawionego stanu faktycznego, pytanie Zakładu dotyczy tego „(…) czy przenośne kontenery wykorzystywane przez Wnioskodawcę na zaplecza sanitarne i gospodarcze podczas realizacji robót remontowych i inwestycyjnych na terenie m.st. Warszawy oraz przenośne kontenery szatniowe i socjalne zlokalizowane na terenie wydziałów drogowych w świetle wyroku NSA z dnia 15 marca 2016 r., sygn. akt II FSK 84/14 podlegają opodatkowaniu podatkiem od nieruchomości na podstawie art. 1a ust. 1 pkt 2 i art. 2 ust. 1 pkt 3 ustawy z dnia 12 stycznia 1991 r. o podatkach i opłatach lokalnych (Dz. U. z 2014 r. poz. 849 z </w:t>
      </w:r>
      <w:proofErr w:type="spellStart"/>
      <w:r w:rsidRPr="009D43EE">
        <w:t>późn</w:t>
      </w:r>
      <w:proofErr w:type="spellEnd"/>
      <w:r w:rsidRPr="009D43EE">
        <w:t xml:space="preserve">. zm.) w związku z art. 3 pkt 3 ustawy z dnia 7 lipca 1994 r. Prawo budowlane (Dz. U. z 2016 r. poz. 290 </w:t>
      </w:r>
      <w:proofErr w:type="spellStart"/>
      <w:r w:rsidRPr="009D43EE">
        <w:t>t.j</w:t>
      </w:r>
      <w:proofErr w:type="spellEnd"/>
      <w:r w:rsidRPr="009D43EE">
        <w:t>.) (…)”.</w:t>
      </w:r>
    </w:p>
    <w:p w:rsidR="00217D50" w:rsidRPr="009D43EE" w:rsidRDefault="00217D50" w:rsidP="003C6BF2">
      <w:r w:rsidRPr="009D43EE">
        <w:t>Interpretacją indywidualną z dnia 27 czerwca 2016 r. nr PE-OP.3120.254.2016.BPO; BPE-2-OP/31101/1561/BPO/16 Prezydent m.st. Warszawy uznał stanowisko Zakładu, przedstawione we wniosku o</w:t>
      </w:r>
      <w:r w:rsidR="006C63D8">
        <w:t> </w:t>
      </w:r>
      <w:r w:rsidRPr="009D43EE">
        <w:t>udzielenie interpretacji, za nieprawidłowe w obowiązującym stanie prawnym. Na powyższą interpretację Zakład złożył skargę do Wojewódzkiego Sądu Administracyjnego w Warszawie, który po jej rozpoznaniu wyrokiem z dnia 17 sierpnia 2017 r., sygn. akt III SA/</w:t>
      </w:r>
      <w:proofErr w:type="spellStart"/>
      <w:r w:rsidRPr="009D43EE">
        <w:t>Wa</w:t>
      </w:r>
      <w:proofErr w:type="spellEnd"/>
      <w:r w:rsidRPr="009D43EE">
        <w:t xml:space="preserve"> 2728/16, uchylił zaskarżoną interpretację w całości. W</w:t>
      </w:r>
      <w:r w:rsidR="006C63D8">
        <w:t> </w:t>
      </w:r>
      <w:r w:rsidRPr="009D43EE">
        <w:t>uzasadnieniu swojego stanowiska Sąd – uznając skargę Zakładu za zasadną - wskazał między innymi na to, iż</w:t>
      </w:r>
      <w:r w:rsidR="006C63D8">
        <w:t> </w:t>
      </w:r>
      <w:r w:rsidRPr="009D43EE">
        <w:t xml:space="preserve"> „W rozpoznanej sprawie stanowisko organu było błędne, bo opierało się na założeniu, że skoro kontener jest tymczasowym obiektem budowlanym (art. 3 pkt 5 </w:t>
      </w:r>
      <w:proofErr w:type="spellStart"/>
      <w:r w:rsidRPr="009D43EE">
        <w:t>Pr.bud</w:t>
      </w:r>
      <w:proofErr w:type="spellEnd"/>
      <w:r w:rsidRPr="009D43EE">
        <w:t xml:space="preserve">.), czyli budowlą w rozumieniu Prawa budowlanego (art. 3 pkt 3 </w:t>
      </w:r>
      <w:proofErr w:type="spellStart"/>
      <w:r w:rsidRPr="009D43EE">
        <w:t>Pr.bud</w:t>
      </w:r>
      <w:proofErr w:type="spellEnd"/>
      <w:r w:rsidRPr="009D43EE">
        <w:t xml:space="preserve">.), to jest również (zawsze) budowlą w rozumieniu </w:t>
      </w:r>
      <w:proofErr w:type="spellStart"/>
      <w:r w:rsidRPr="009D43EE">
        <w:t>u.p.o.l</w:t>
      </w:r>
      <w:proofErr w:type="spellEnd"/>
      <w:r w:rsidRPr="009D43EE">
        <w:t>., a skoro jest związany z działalnością gospodarczą to podlega opodatkowaniu (…)”.</w:t>
      </w:r>
    </w:p>
    <w:p w:rsidR="00217D50" w:rsidRPr="009D43EE" w:rsidRDefault="00217D50" w:rsidP="003C6BF2">
      <w:r w:rsidRPr="009D43EE">
        <w:t>Prezydent m.st. Warszawy, nie zgadzając się z w/w orzeczeniem Wojewódzkiego Sądu Administracyjnego w</w:t>
      </w:r>
      <w:r w:rsidR="006C63D8">
        <w:t> </w:t>
      </w:r>
      <w:r w:rsidRPr="009D43EE">
        <w:t xml:space="preserve">Warszawie z dnia 17 sierpnia 2017 r., wniósł do Naczelnego Sądu Administracyjnego skargę kasacyjną. Naczelny Sąd Administracyjny wyrokiem z dnia 29 czerwca 2018 r., sygn. akt II FSK 3888/17, uchylił zaskarżony wyrok w całości i przekazał sprawę do ponownego rozpoznania Wojewódzkiemu Sądowi Administracyjnemu w Warszawie. W uzasadnieniu wyroku Naczelny Sąd Administracyjny wskazał między innymi, iż „W zaskarżonym wyroku Sąd pierwszej instancji zakwestionował zaniechanie przez Prezydenta [...] wezwania wnioskodawcy w trybie art. 169 w zw. z art. 14 h </w:t>
      </w:r>
      <w:proofErr w:type="spellStart"/>
      <w:r w:rsidRPr="009D43EE">
        <w:t>O.p</w:t>
      </w:r>
      <w:proofErr w:type="spellEnd"/>
      <w:r w:rsidRPr="009D43EE">
        <w:t xml:space="preserve">. do sprecyzowania wniosku poprzez podanie, czy kontenery stanowią całość techniczno-użytkową (str. 4 uzasadnienia). Wskazać jednak należy, że w dacie złożenia wniosku o wydanie interpretacji indywidualnej (10 maja 2016 r.) oraz w dacie wydania interpretacji przez Prezydenta [...] (27 czerwca 2016 r.) nie obowiązywał już przepis Prawa budowlanego definiujący obiekt budowlany m. in. jako budowlę stanowiącą całość techniczno-użytkową wraz z instalacjami i urządzeniami. Art. 3 pkt 1 </w:t>
      </w:r>
      <w:proofErr w:type="spellStart"/>
      <w:r w:rsidRPr="009D43EE">
        <w:t>u.p.b</w:t>
      </w:r>
      <w:proofErr w:type="spellEnd"/>
      <w:r w:rsidRPr="009D43EE">
        <w:t xml:space="preserve">. został zmieniony na mocy art. 1 pkt 1 lit a ustawy z dnia 20 lutego 2015 r. o zmianie ustawy Prawo budowlane oraz niektórych innych ustaw (Dz. U. z 2015 r., poz. 443), który obowiązuje od dnia 28 czerwca 2015 r. Zgodnie z brzmieniem art. 3 pkt 1 Prawa budowlanego - w dacie wydawania interpretacji indywidualnej - przez obiekt budowlany rozumie się budynek, budowlę bądź obiekt małej architektury, wraz z instalacjami zapewniającymi możliwość użytkowania obiektu zgodnie z jego przeznaczeniem, wzniesiony z użyciem wyrobów budowlanych. Sąd pierwszej instancji również w dalszej części uzasadnienia sformułował pogląd według stanu prawnego w zakresie art. 3 pkt 1 </w:t>
      </w:r>
      <w:proofErr w:type="spellStart"/>
      <w:r w:rsidRPr="009D43EE">
        <w:t>u.p.b</w:t>
      </w:r>
      <w:proofErr w:type="spellEnd"/>
      <w:r w:rsidRPr="009D43EE">
        <w:t>. sprzed zmiany, która weszła w życie z dniem 28</w:t>
      </w:r>
      <w:r w:rsidR="006C63D8">
        <w:t> </w:t>
      </w:r>
      <w:r w:rsidRPr="009D43EE">
        <w:t xml:space="preserve">czerwca 2015 r., a mianowicie uznał, że budowla w rozumieniu Prawa budowlanego może lecz nie musi być budowlą w rozumieniu ustawy o podatkach i opłatach lokalnych, dotyczy to także obiektów kontenerowych, które mogą być przedmiotem opodatkowania podatkiem od nieruchomości, jeżeli stanowią całość </w:t>
      </w:r>
      <w:proofErr w:type="spellStart"/>
      <w:r w:rsidRPr="009D43EE">
        <w:t>techniczno</w:t>
      </w:r>
      <w:proofErr w:type="spellEnd"/>
      <w:r w:rsidR="006C63D8">
        <w:t> </w:t>
      </w:r>
      <w:r w:rsidRPr="009D43EE">
        <w:t>- użytkową wraz z instalacjami i urządzeniami (str. 8 uzasadnienia).”</w:t>
      </w:r>
    </w:p>
    <w:p w:rsidR="00217D50" w:rsidRPr="009D43EE" w:rsidRDefault="00217D50" w:rsidP="003C6BF2">
      <w:r w:rsidRPr="009D43EE">
        <w:t>Po ponownym rozpoznaniu sprawy Wojewódzki Sąd Administracyjny w Warszawie wyrokiem z dnia 7</w:t>
      </w:r>
      <w:r w:rsidR="006C63D8">
        <w:t> </w:t>
      </w:r>
      <w:r w:rsidRPr="009D43EE">
        <w:t>listopada 2018 r., sygn. akt III SA/</w:t>
      </w:r>
      <w:proofErr w:type="spellStart"/>
      <w:r w:rsidRPr="009D43EE">
        <w:t>Wa</w:t>
      </w:r>
      <w:proofErr w:type="spellEnd"/>
      <w:r w:rsidRPr="009D43EE">
        <w:t xml:space="preserve"> 2237/18, uchylił zaskarżoną interpretację. W uzasadnieniu w/w wyroku Wojewódzki Sąd Administracyjny w Warszawie wskazał m.in.: „wezwanie wnioskodawcy w trybie art. 169 w zw. z art. 14 h </w:t>
      </w:r>
      <w:proofErr w:type="spellStart"/>
      <w:r w:rsidRPr="009D43EE">
        <w:t>O.p</w:t>
      </w:r>
      <w:proofErr w:type="spellEnd"/>
      <w:r w:rsidRPr="009D43EE">
        <w:t>. do sprecyzowania wniosku jest celowe i uzasadnione prawnie jedynie w kontek</w:t>
      </w:r>
      <w:r w:rsidRPr="009D43EE">
        <w:rPr>
          <w:rFonts w:hint="eastAsia"/>
        </w:rPr>
        <w:t>ś</w:t>
      </w:r>
      <w:r w:rsidRPr="009D43EE">
        <w:t>cie odniesienia do prawid</w:t>
      </w:r>
      <w:r w:rsidRPr="009D43EE">
        <w:rPr>
          <w:rFonts w:hint="eastAsia"/>
        </w:rPr>
        <w:t>ł</w:t>
      </w:r>
      <w:r w:rsidRPr="009D43EE">
        <w:t>owego stanu prawnego - o czym zapomnia</w:t>
      </w:r>
      <w:r w:rsidRPr="009D43EE">
        <w:rPr>
          <w:rFonts w:hint="eastAsia"/>
        </w:rPr>
        <w:t>ł</w:t>
      </w:r>
      <w:r w:rsidRPr="009D43EE">
        <w:t xml:space="preserve"> wzmiankowa</w:t>
      </w:r>
      <w:r w:rsidRPr="009D43EE">
        <w:rPr>
          <w:rFonts w:hint="eastAsia"/>
        </w:rPr>
        <w:t>ć</w:t>
      </w:r>
      <w:r w:rsidRPr="009D43EE">
        <w:t xml:space="preserve"> Wojewódzki S</w:t>
      </w:r>
      <w:r w:rsidRPr="009D43EE">
        <w:rPr>
          <w:rFonts w:hint="eastAsia"/>
        </w:rPr>
        <w:t>ą</w:t>
      </w:r>
      <w:r w:rsidRPr="009D43EE">
        <w:t>d Administracyjny w wyroku z 17 sierpnia 2017 r., a co wytkn</w:t>
      </w:r>
      <w:r w:rsidRPr="009D43EE">
        <w:rPr>
          <w:rFonts w:hint="eastAsia"/>
        </w:rPr>
        <w:t>ął</w:t>
      </w:r>
      <w:r w:rsidRPr="009D43EE">
        <w:t xml:space="preserve"> Naczelny S</w:t>
      </w:r>
      <w:r w:rsidRPr="009D43EE">
        <w:rPr>
          <w:rFonts w:hint="eastAsia"/>
        </w:rPr>
        <w:t>ą</w:t>
      </w:r>
      <w:r w:rsidRPr="009D43EE">
        <w:t>d Administracyjny. Dopiero w tych okoliczno</w:t>
      </w:r>
      <w:r w:rsidRPr="009D43EE">
        <w:rPr>
          <w:rFonts w:hint="eastAsia"/>
        </w:rPr>
        <w:t>ś</w:t>
      </w:r>
      <w:r w:rsidRPr="009D43EE">
        <w:t>ciach – istotne jest podanie, czy kontenery stanowi</w:t>
      </w:r>
      <w:r w:rsidRPr="009D43EE">
        <w:rPr>
          <w:rFonts w:hint="eastAsia"/>
        </w:rPr>
        <w:t>ą</w:t>
      </w:r>
      <w:r w:rsidRPr="009D43EE">
        <w:t xml:space="preserve"> budowl</w:t>
      </w:r>
      <w:r w:rsidRPr="009D43EE">
        <w:rPr>
          <w:rFonts w:hint="eastAsia"/>
        </w:rPr>
        <w:t>ę</w:t>
      </w:r>
      <w:r w:rsidRPr="009D43EE">
        <w:t xml:space="preserve"> wzniesion</w:t>
      </w:r>
      <w:r w:rsidRPr="009D43EE">
        <w:rPr>
          <w:rFonts w:hint="eastAsia"/>
        </w:rPr>
        <w:t>ą</w:t>
      </w:r>
      <w:r w:rsidRPr="009D43EE">
        <w:t xml:space="preserve"> z u</w:t>
      </w:r>
      <w:r w:rsidRPr="009D43EE">
        <w:rPr>
          <w:rFonts w:hint="eastAsia"/>
        </w:rPr>
        <w:t>ż</w:t>
      </w:r>
      <w:r w:rsidRPr="009D43EE">
        <w:t>yciem materia</w:t>
      </w:r>
      <w:r w:rsidRPr="009D43EE">
        <w:rPr>
          <w:rFonts w:hint="eastAsia"/>
        </w:rPr>
        <w:t>łó</w:t>
      </w:r>
      <w:r w:rsidRPr="009D43EE">
        <w:t>w budowlanych wraz z instalacjami zapewniaj</w:t>
      </w:r>
      <w:r w:rsidRPr="009D43EE">
        <w:rPr>
          <w:rFonts w:hint="eastAsia"/>
        </w:rPr>
        <w:t>ą</w:t>
      </w:r>
      <w:r w:rsidRPr="009D43EE">
        <w:t>cymi mo</w:t>
      </w:r>
      <w:r w:rsidRPr="009D43EE">
        <w:rPr>
          <w:rFonts w:hint="eastAsia"/>
        </w:rPr>
        <w:t>ż</w:t>
      </w:r>
      <w:r w:rsidRPr="009D43EE">
        <w:t>liwo</w:t>
      </w:r>
      <w:r w:rsidRPr="009D43EE">
        <w:rPr>
          <w:rFonts w:hint="eastAsia"/>
        </w:rPr>
        <w:t>ść</w:t>
      </w:r>
      <w:r w:rsidRPr="009D43EE">
        <w:t xml:space="preserve"> u</w:t>
      </w:r>
      <w:r w:rsidRPr="009D43EE">
        <w:rPr>
          <w:rFonts w:hint="eastAsia"/>
        </w:rPr>
        <w:t>ż</w:t>
      </w:r>
      <w:r w:rsidRPr="009D43EE">
        <w:t>ytkowania obiektu zgodnie z jego przeznaczeniem. […] Wobec wi</w:t>
      </w:r>
      <w:r w:rsidRPr="009D43EE">
        <w:rPr>
          <w:rFonts w:hint="eastAsia"/>
        </w:rPr>
        <w:t>ążą</w:t>
      </w:r>
      <w:r w:rsidRPr="009D43EE">
        <w:t>cej w sprawie oceny NSA dopiero wtórne ("odpowiednie", z uwzgl</w:t>
      </w:r>
      <w:r w:rsidRPr="009D43EE">
        <w:rPr>
          <w:rFonts w:hint="eastAsia"/>
        </w:rPr>
        <w:t>ę</w:t>
      </w:r>
      <w:r w:rsidRPr="009D43EE">
        <w:t>dnieniem oczywistych odr</w:t>
      </w:r>
      <w:r w:rsidRPr="009D43EE">
        <w:rPr>
          <w:rFonts w:hint="eastAsia"/>
        </w:rPr>
        <w:t>ę</w:t>
      </w:r>
      <w:r w:rsidRPr="009D43EE">
        <w:t>bno</w:t>
      </w:r>
      <w:r w:rsidRPr="009D43EE">
        <w:rPr>
          <w:rFonts w:hint="eastAsia"/>
        </w:rPr>
        <w:t>ś</w:t>
      </w:r>
      <w:r w:rsidRPr="009D43EE">
        <w:t>ci definicyjnych, z którymi wi</w:t>
      </w:r>
      <w:r w:rsidRPr="009D43EE">
        <w:rPr>
          <w:rFonts w:hint="eastAsia"/>
        </w:rPr>
        <w:t>ą</w:t>
      </w:r>
      <w:r w:rsidRPr="009D43EE">
        <w:t>za</w:t>
      </w:r>
      <w:r w:rsidRPr="009D43EE">
        <w:rPr>
          <w:rFonts w:hint="eastAsia"/>
        </w:rPr>
        <w:t>ł</w:t>
      </w:r>
      <w:r w:rsidRPr="009D43EE">
        <w:t>y skutki organy orzekaj</w:t>
      </w:r>
      <w:r w:rsidRPr="009D43EE">
        <w:rPr>
          <w:rFonts w:hint="eastAsia"/>
        </w:rPr>
        <w:t>ą</w:t>
      </w:r>
      <w:r w:rsidRPr="009D43EE">
        <w:t>ce) znaczenie b</w:t>
      </w:r>
      <w:r w:rsidRPr="009D43EE">
        <w:rPr>
          <w:rFonts w:hint="eastAsia"/>
        </w:rPr>
        <w:t>ę</w:t>
      </w:r>
      <w:r w:rsidRPr="009D43EE">
        <w:t>dzie mia</w:t>
      </w:r>
      <w:r w:rsidRPr="009D43EE">
        <w:rPr>
          <w:rFonts w:hint="eastAsia"/>
        </w:rPr>
        <w:t>ł</w:t>
      </w:r>
      <w:r w:rsidRPr="009D43EE">
        <w:t>o odniesienie si</w:t>
      </w:r>
      <w:r w:rsidRPr="009D43EE">
        <w:rPr>
          <w:rFonts w:hint="eastAsia"/>
        </w:rPr>
        <w:t>ę</w:t>
      </w:r>
      <w:r w:rsidRPr="009D43EE">
        <w:t xml:space="preserve"> b</w:t>
      </w:r>
      <w:r w:rsidRPr="009D43EE">
        <w:rPr>
          <w:rFonts w:hint="eastAsia"/>
        </w:rPr>
        <w:t>ę</w:t>
      </w:r>
      <w:r w:rsidRPr="009D43EE">
        <w:t>d</w:t>
      </w:r>
      <w:r w:rsidRPr="009D43EE">
        <w:rPr>
          <w:rFonts w:hint="eastAsia"/>
        </w:rPr>
        <w:t>ą</w:t>
      </w:r>
      <w:r w:rsidRPr="009D43EE">
        <w:t>ce wyrazem postulowanej przez prawodawc</w:t>
      </w:r>
      <w:r w:rsidRPr="009D43EE">
        <w:rPr>
          <w:rFonts w:hint="eastAsia"/>
        </w:rPr>
        <w:t>ę</w:t>
      </w:r>
      <w:r w:rsidRPr="009D43EE">
        <w:t xml:space="preserve"> rzetelno</w:t>
      </w:r>
      <w:r w:rsidRPr="009D43EE">
        <w:rPr>
          <w:rFonts w:hint="eastAsia"/>
        </w:rPr>
        <w:t>ś</w:t>
      </w:r>
      <w:r w:rsidRPr="009D43EE">
        <w:t>ci post</w:t>
      </w:r>
      <w:r w:rsidRPr="009D43EE">
        <w:rPr>
          <w:rFonts w:hint="eastAsia"/>
        </w:rPr>
        <w:t>ę</w:t>
      </w:r>
      <w:r w:rsidRPr="009D43EE">
        <w:t>powania, w</w:t>
      </w:r>
      <w:r w:rsidR="006C63D8">
        <w:t> </w:t>
      </w:r>
      <w:r w:rsidRPr="009D43EE">
        <w:t>tym interpretacyjnego – ale z uwzgl</w:t>
      </w:r>
      <w:r w:rsidRPr="009D43EE">
        <w:rPr>
          <w:rFonts w:hint="eastAsia"/>
        </w:rPr>
        <w:t>ę</w:t>
      </w:r>
      <w:r w:rsidRPr="009D43EE">
        <w:t>dnieniem aktualnego dla sprawy stanu prawnego – do ustale</w:t>
      </w:r>
      <w:r w:rsidRPr="009D43EE">
        <w:rPr>
          <w:rFonts w:hint="eastAsia"/>
        </w:rPr>
        <w:t>ń</w:t>
      </w:r>
      <w:r w:rsidRPr="009D43EE">
        <w:t xml:space="preserve"> p</w:t>
      </w:r>
      <w:r w:rsidRPr="009D43EE">
        <w:rPr>
          <w:rFonts w:hint="eastAsia"/>
        </w:rPr>
        <w:t>ł</w:t>
      </w:r>
      <w:r w:rsidRPr="009D43EE">
        <w:t>yn</w:t>
      </w:r>
      <w:r w:rsidRPr="009D43EE">
        <w:rPr>
          <w:rFonts w:hint="eastAsia"/>
        </w:rPr>
        <w:t>ą</w:t>
      </w:r>
      <w:r w:rsidRPr="009D43EE">
        <w:t>cych z dorobku prawnego (np. uchwa</w:t>
      </w:r>
      <w:r w:rsidRPr="009D43EE">
        <w:rPr>
          <w:rFonts w:hint="eastAsia"/>
        </w:rPr>
        <w:t>ł</w:t>
      </w:r>
      <w:r w:rsidRPr="009D43EE">
        <w:t>y NSA z dnia 3 lutego 2014 r., II FPS 11/13, wyroku z dnia 15 marca 2015 r. II FSK 84/14 i TK z dnia 13 wrze</w:t>
      </w:r>
      <w:r w:rsidRPr="009D43EE">
        <w:rPr>
          <w:rFonts w:hint="eastAsia"/>
        </w:rPr>
        <w:t>ś</w:t>
      </w:r>
      <w:r w:rsidRPr="009D43EE">
        <w:t>nia 2011 r. P 33/09, czy 13 grudnia 2017 r. SK 48/15, program Lex)”.</w:t>
      </w:r>
    </w:p>
    <w:p w:rsidR="00217D50" w:rsidRPr="009D43EE" w:rsidRDefault="00217D50" w:rsidP="003C6BF2">
      <w:r w:rsidRPr="009D43EE">
        <w:t xml:space="preserve">Od powyższego wyroku Prezydent m.st. Warszawy złożył skargę kasacyjną do Naczelnego Sądu Administracyjnego, który wyrokiem z dnia 24 maja 2019 r., sygn. akt II FSK 509/19, oddalił skargę kasacyjną. Naczelny Sąd Administracyjny w uzasadnieniu w/w wyroku stwierdził między innymi, iż „(…) Ponadto Sąd wskazał, że wezwanie wnioskodawcy w trybie art. 169 w zw. z art. 14h </w:t>
      </w:r>
      <w:proofErr w:type="spellStart"/>
      <w:r w:rsidRPr="009D43EE">
        <w:t>O.p</w:t>
      </w:r>
      <w:proofErr w:type="spellEnd"/>
      <w:r w:rsidRPr="009D43EE">
        <w:t xml:space="preserve">. do sprecyzowania wniosku jest celowe i uzasadnione prawnie jedynie w kontekście odniesienia do prawidłowego stanu prawnego. Dalej Sąd stwierdził, że dopiero w tych okolicznościach – istotne jest podanie, czy kontenery stanowią budowlę wzniesioną z użyciem materiałów budowlanych wraz z instalacjami zapewniającymi możliwość użytkowania obiektu zgodnie z jego przeznaczeniem. Zdaniem Naczelnego Sądu Administracyjnego prawidłowe jest stanowisko wyrażone w zaskarżonym wyroku, że stan faktyczny przedstawiony we wniosku nie był </w:t>
      </w:r>
      <w:r w:rsidRPr="009D43EE">
        <w:lastRenderedPageBreak/>
        <w:t xml:space="preserve">wystarczający do dokonania wykładni przepisów </w:t>
      </w:r>
      <w:proofErr w:type="spellStart"/>
      <w:r w:rsidRPr="009D43EE">
        <w:t>u.p.o.l</w:t>
      </w:r>
      <w:proofErr w:type="spellEnd"/>
      <w:r w:rsidRPr="009D43EE">
        <w:t xml:space="preserve">. w związku z przepisami Prawa budowlanego w brzmieniu obowiązującym od dnia 28 czerwca 2015 r. a zatem zasadne jest wezwanie wnioskodawcy do sprecyzowania wniosku w trybie art. 169 w zw. z art. 14h </w:t>
      </w:r>
      <w:proofErr w:type="spellStart"/>
      <w:r w:rsidRPr="009D43EE">
        <w:t>O.p</w:t>
      </w:r>
      <w:proofErr w:type="spellEnd"/>
      <w:r w:rsidRPr="009D43EE">
        <w:t>. Zgodzić się należy z autorem skargi kasacyjnej, że w interpretacji indywidualnej powołane zostały przepisy w brzmieniu obowiązującym w dacie złożenia wniosku o wydanie interpretacji indywidualnej oraz w dacie wydania interpretacji indywidualnej tj. z uwzględnieniem zmiany Prawa budowlanego wprowadzonej na mocy art. 1 pkt 1 lit. a ustawy z dnia 20 lutego 2015 r. o zmianie ustawy - Prawo budowlane oraz niektórych innych ustaw (Dz. U. z 2015 r., poz. 443) obowiązującej od dnia 28 czerwca 2015 r., co również przyznał Sąd pierwszej instancji. Jednakże pomimo powołania przez organ interpretacyjny przepisów w obowiązującym brzmieniu, to jednak organ ten nie dokonał oceny stanowiska strony co do kwalifikacji spornych kontenerów z uwzględnieniem aktualnie obowiązującej regulacji Prawa budowlanego definiującej obiekt budowlany jako budynek, budowlę bądź obiekt małej architektury, wraz z instalacjami zapewniającymi możliwość użytkowania obiektu zgodnie z jego przeznaczeniem, wzniesiony z użyciem materiałów budowlanych. Potwierdzeniem braku dokonania takiej oceny jest również brak wezwania wnioskodawcy do uzupełnienia przedstawionego we wniosku stanu faktycznego o informacje pozwalające ocenić stanowisko strony w świetle definicji obiektu budowlanego zawartej w art. 3 pkt 1 Prawa budowlanego. Powyższe było konieczne ze względu na brak takich informacji w przedstawionym stanie faktycznym zawartym we wniosku o udzielnie interpretacji indywidualnej. W</w:t>
      </w:r>
      <w:r w:rsidR="003C6BF2">
        <w:t> </w:t>
      </w:r>
      <w:r w:rsidRPr="009D43EE">
        <w:t xml:space="preserve">rezultacie Sąd pierwszej instancji zasadnie wskazał na konieczność ustalenia elementów składających się na budowlę w rozumieniu </w:t>
      </w:r>
      <w:proofErr w:type="spellStart"/>
      <w:r w:rsidRPr="009D43EE">
        <w:t>u.p.o.l</w:t>
      </w:r>
      <w:proofErr w:type="spellEnd"/>
      <w:r w:rsidRPr="009D43EE">
        <w:t>. z uwzględnieniem aktualnie obowiązujących przepisów Prawa budowlanego, co umożliwi dokonanie kwalifikacji, czy sporne kontenery stanowią budowlę podlegająca opodatkowaniu podatkiem od nieruchomości (…)”.</w:t>
      </w:r>
    </w:p>
    <w:p w:rsidR="00217D50" w:rsidRPr="00217D50" w:rsidRDefault="00217D50" w:rsidP="003C6BF2">
      <w:pPr>
        <w:rPr>
          <w:b/>
        </w:rPr>
      </w:pPr>
      <w:r w:rsidRPr="00217D50">
        <w:t xml:space="preserve">Organ podatkowy pismem z dnia 14 października 2019 r., nr PE-OP.3120.254.2016.BPO;  PE-10-OP/31100/1114/GW/19, wezwał Zakład do sprecyzowania wniosku poprzez wskazanie, czy obiekty wymienione we wniosku są wzniesione „(…) z użyciem materiałów budowlanych wraz z instalacjami zapewniającymi możliwość użytkowania obiektu zgodnie z jego przeznaczeniem (…)”. W odpowiedzi na powyższe wezwanie, Zakład pismem z dnia 23 października 2019 r. poinformował organ podatkowy, iż „(…) kontenery użytkowane przez </w:t>
      </w:r>
      <w:r w:rsidR="003C6BF2">
        <w:t>(…)</w:t>
      </w:r>
      <w:r w:rsidRPr="00217D50">
        <w:t xml:space="preserve"> są wyprodukowane przez producentów ze stali (…). Kontenery zostały zakupione jako gotowy produkt, nikt ich nie wznosił”.</w:t>
      </w:r>
    </w:p>
    <w:p w:rsidR="00217D50" w:rsidRPr="00217D50" w:rsidRDefault="00217D50" w:rsidP="0074545E">
      <w:pPr>
        <w:pStyle w:val="Nagwek2"/>
        <w:numPr>
          <w:ilvl w:val="0"/>
          <w:numId w:val="2"/>
        </w:numPr>
      </w:pPr>
      <w:r w:rsidRPr="00217D50">
        <w:t>Stanowisko wnioskodawcy</w:t>
      </w:r>
    </w:p>
    <w:p w:rsidR="00217D50" w:rsidRPr="009D43EE" w:rsidRDefault="00217D50" w:rsidP="003C6BF2">
      <w:r w:rsidRPr="009D43EE">
        <w:t>Zdaniem Zakładu, zawartym w złożonym wniosku, „(…) przenośne kontenery nie stanowią przedmiotu opodatkowania podatkiem od nieruchomości, ponieważ obie ustawy nie uznały kontenerów za budowlę. A</w:t>
      </w:r>
      <w:r w:rsidR="003C6BF2">
        <w:t> </w:t>
      </w:r>
      <w:r w:rsidRPr="009D43EE">
        <w:t xml:space="preserve">zatem wnioskodawca nie jest zobowiązany do naliczania i odprowadzania podatku od nieruchomości za przenośne kontenery wykorzystywane jako zaplecze sanitarne i gospodarcze przy różnego rodzaju robotach remontowych i inwestycyjnych na terenie m.st. Warszawa oraz za przenośne kontenery szatniowe i socjalne zlokalizowane na terenie wydziałów drogowych, ponieważ nie stanowią budowli w rozumieniu art. 1a ust. 1 pkt 2 ustawy </w:t>
      </w:r>
      <w:proofErr w:type="spellStart"/>
      <w:r w:rsidRPr="009D43EE">
        <w:t>u.p.o.l</w:t>
      </w:r>
      <w:proofErr w:type="spellEnd"/>
      <w:r w:rsidRPr="009D43EE">
        <w:t xml:space="preserve">  i art. 3 pkt 3 ustawy </w:t>
      </w:r>
      <w:proofErr w:type="spellStart"/>
      <w:r w:rsidRPr="009D43EE">
        <w:t>u.p.b</w:t>
      </w:r>
      <w:proofErr w:type="spellEnd"/>
      <w:r w:rsidRPr="009D43EE">
        <w:t>. (…)”.</w:t>
      </w:r>
    </w:p>
    <w:p w:rsidR="00217D50" w:rsidRPr="00217D50" w:rsidRDefault="00217D50" w:rsidP="0074545E">
      <w:pPr>
        <w:pStyle w:val="Nagwek2"/>
        <w:numPr>
          <w:ilvl w:val="0"/>
          <w:numId w:val="2"/>
        </w:numPr>
      </w:pPr>
      <w:r w:rsidRPr="00217D50">
        <w:t>Ocena stanowiska wnioskodawcy wraz z uzasadnieniem prawnym</w:t>
      </w:r>
    </w:p>
    <w:p w:rsidR="00217D50" w:rsidRPr="009D43EE" w:rsidRDefault="00217D50" w:rsidP="003C6BF2">
      <w:r w:rsidRPr="009D43EE">
        <w:t>Ustalaj</w:t>
      </w:r>
      <w:r w:rsidRPr="009D43EE">
        <w:rPr>
          <w:rFonts w:hint="eastAsia"/>
        </w:rPr>
        <w:t>ą</w:t>
      </w:r>
      <w:r w:rsidRPr="009D43EE">
        <w:t>c znaczenie poj</w:t>
      </w:r>
      <w:r w:rsidRPr="009D43EE">
        <w:rPr>
          <w:rFonts w:hint="eastAsia"/>
        </w:rPr>
        <w:t>ę</w:t>
      </w:r>
      <w:r w:rsidRPr="009D43EE">
        <w:t>cia „budynek” czy te</w:t>
      </w:r>
      <w:r w:rsidRPr="009D43EE">
        <w:rPr>
          <w:rFonts w:hint="eastAsia"/>
        </w:rPr>
        <w:t>ż</w:t>
      </w:r>
      <w:r w:rsidRPr="009D43EE">
        <w:t xml:space="preserve"> "budowla" u</w:t>
      </w:r>
      <w:r w:rsidRPr="009D43EE">
        <w:rPr>
          <w:rFonts w:hint="eastAsia"/>
        </w:rPr>
        <w:t>ż</w:t>
      </w:r>
      <w:r w:rsidRPr="009D43EE">
        <w:t>ytego w art. 2 ust. 1 pkt 2 i pkt 3 ustawy z dnia 12 stycznia 1991 roku o podatkach i op</w:t>
      </w:r>
      <w:r w:rsidRPr="009D43EE">
        <w:rPr>
          <w:rFonts w:hint="eastAsia"/>
        </w:rPr>
        <w:t>ł</w:t>
      </w:r>
      <w:r w:rsidRPr="009D43EE">
        <w:t xml:space="preserve">atach lokalnych (Dz. U. z 2019 r. poz. 1170, z </w:t>
      </w:r>
      <w:proofErr w:type="spellStart"/>
      <w:r w:rsidRPr="009D43EE">
        <w:t>późn</w:t>
      </w:r>
      <w:proofErr w:type="spellEnd"/>
      <w:r w:rsidRPr="009D43EE">
        <w:t>. zm.; dalej jako „</w:t>
      </w:r>
      <w:proofErr w:type="spellStart"/>
      <w:r w:rsidRPr="009D43EE">
        <w:t>upol</w:t>
      </w:r>
      <w:proofErr w:type="spellEnd"/>
      <w:r w:rsidRPr="009D43EE">
        <w:t>”), nale</w:t>
      </w:r>
      <w:r w:rsidRPr="009D43EE">
        <w:rPr>
          <w:rFonts w:hint="eastAsia"/>
        </w:rPr>
        <w:t>ż</w:t>
      </w:r>
      <w:r w:rsidRPr="009D43EE">
        <w:t>y przede wszystkim si</w:t>
      </w:r>
      <w:r w:rsidRPr="009D43EE">
        <w:rPr>
          <w:rFonts w:hint="eastAsia"/>
        </w:rPr>
        <w:t>ę</w:t>
      </w:r>
      <w:r w:rsidRPr="009D43EE">
        <w:t>gn</w:t>
      </w:r>
      <w:r w:rsidRPr="009D43EE">
        <w:rPr>
          <w:rFonts w:hint="eastAsia"/>
        </w:rPr>
        <w:t>ąć</w:t>
      </w:r>
      <w:r w:rsidRPr="009D43EE">
        <w:t xml:space="preserve"> do przepisów tej ustawy. Zgodnie z art. 1a ust. 1 pkt 1 </w:t>
      </w:r>
      <w:proofErr w:type="spellStart"/>
      <w:r w:rsidRPr="009D43EE">
        <w:t>upol</w:t>
      </w:r>
      <w:proofErr w:type="spellEnd"/>
      <w:r w:rsidRPr="009D43EE">
        <w:t>, budynkiem jest obiekt budowlany w rozumieniu przepisów prawa budowlanego, który jest trwale zwi</w:t>
      </w:r>
      <w:r w:rsidRPr="009D43EE">
        <w:rPr>
          <w:rFonts w:hint="eastAsia"/>
        </w:rPr>
        <w:t>ą</w:t>
      </w:r>
      <w:r w:rsidRPr="009D43EE">
        <w:t>zany z gruntem, wydzielony z przestrzeni za pomoc</w:t>
      </w:r>
      <w:r w:rsidRPr="009D43EE">
        <w:rPr>
          <w:rFonts w:hint="eastAsia"/>
        </w:rPr>
        <w:t>ą</w:t>
      </w:r>
      <w:r w:rsidRPr="009D43EE">
        <w:t xml:space="preserve"> przegród budowlanych oraz posiada fundamenty i dach. Z opisanego we</w:t>
      </w:r>
      <w:r w:rsidR="00902878">
        <w:t> </w:t>
      </w:r>
      <w:r w:rsidRPr="009D43EE">
        <w:t>wniosku stanu faktycznego wynika, i</w:t>
      </w:r>
      <w:r w:rsidRPr="009D43EE">
        <w:rPr>
          <w:rFonts w:hint="eastAsia"/>
        </w:rPr>
        <w:t>ż</w:t>
      </w:r>
      <w:r w:rsidRPr="009D43EE">
        <w:t xml:space="preserve"> kontenery opisane we wniosku o wydanie indywidualnej interpretacji przepisów prawa podatkowego są przenośne, a zatem nie s</w:t>
      </w:r>
      <w:r w:rsidRPr="009D43EE">
        <w:rPr>
          <w:rFonts w:hint="eastAsia"/>
        </w:rPr>
        <w:t>ą</w:t>
      </w:r>
      <w:r w:rsidRPr="009D43EE">
        <w:t xml:space="preserve"> trwale zwi</w:t>
      </w:r>
      <w:r w:rsidRPr="009D43EE">
        <w:rPr>
          <w:rFonts w:hint="eastAsia"/>
        </w:rPr>
        <w:t>ą</w:t>
      </w:r>
      <w:r w:rsidRPr="009D43EE">
        <w:t>zane z gruntem, a tym samym nie spe</w:t>
      </w:r>
      <w:r w:rsidRPr="009D43EE">
        <w:rPr>
          <w:rFonts w:hint="eastAsia"/>
        </w:rPr>
        <w:t>ł</w:t>
      </w:r>
      <w:r w:rsidRPr="009D43EE">
        <w:t>niaj</w:t>
      </w:r>
      <w:r w:rsidRPr="009D43EE">
        <w:rPr>
          <w:rFonts w:hint="eastAsia"/>
        </w:rPr>
        <w:t>ą</w:t>
      </w:r>
      <w:r w:rsidRPr="009D43EE">
        <w:t xml:space="preserve"> jednego z warunków (to jest trwa</w:t>
      </w:r>
      <w:r w:rsidRPr="009D43EE">
        <w:rPr>
          <w:rFonts w:hint="eastAsia"/>
        </w:rPr>
        <w:t>ł</w:t>
      </w:r>
      <w:r w:rsidRPr="009D43EE">
        <w:t>o</w:t>
      </w:r>
      <w:r w:rsidRPr="009D43EE">
        <w:rPr>
          <w:rFonts w:hint="eastAsia"/>
        </w:rPr>
        <w:t>ś</w:t>
      </w:r>
      <w:r w:rsidRPr="009D43EE">
        <w:t>ci zwi</w:t>
      </w:r>
      <w:r w:rsidRPr="009D43EE">
        <w:rPr>
          <w:rFonts w:hint="eastAsia"/>
        </w:rPr>
        <w:t>ą</w:t>
      </w:r>
      <w:r w:rsidRPr="009D43EE">
        <w:t>zania z gruntem) do uznania ich za budynek. Zwi</w:t>
      </w:r>
      <w:r w:rsidRPr="009D43EE">
        <w:rPr>
          <w:rFonts w:hint="eastAsia"/>
        </w:rPr>
        <w:t>ą</w:t>
      </w:r>
      <w:r w:rsidRPr="009D43EE">
        <w:t>zany bowiem trwale z gruntem jest budynek, którego nie mo</w:t>
      </w:r>
      <w:r w:rsidRPr="009D43EE">
        <w:rPr>
          <w:rFonts w:hint="eastAsia"/>
        </w:rPr>
        <w:t>ż</w:t>
      </w:r>
      <w:r w:rsidRPr="009D43EE">
        <w:t>na od gruntu od</w:t>
      </w:r>
      <w:r w:rsidRPr="009D43EE">
        <w:rPr>
          <w:rFonts w:hint="eastAsia"/>
        </w:rPr>
        <w:t>łą</w:t>
      </w:r>
      <w:r w:rsidRPr="009D43EE">
        <w:t>czy</w:t>
      </w:r>
      <w:r w:rsidRPr="009D43EE">
        <w:rPr>
          <w:rFonts w:hint="eastAsia"/>
        </w:rPr>
        <w:t>ć</w:t>
      </w:r>
      <w:r w:rsidRPr="009D43EE">
        <w:t xml:space="preserve"> bez uszkodzenia jego konstrukcji (por. wyrok NSA z dnia 24 marca 2014 r., sygn. akt II FSK 783/12, dost</w:t>
      </w:r>
      <w:r w:rsidRPr="009D43EE">
        <w:rPr>
          <w:rFonts w:hint="eastAsia"/>
        </w:rPr>
        <w:t>ę</w:t>
      </w:r>
      <w:r w:rsidRPr="009D43EE">
        <w:t>pny na stronie internetowej: www.orzeczenia.nsa.gov.pl). Tym samym przedmiotowe kontenery nie b</w:t>
      </w:r>
      <w:r w:rsidRPr="009D43EE">
        <w:rPr>
          <w:rFonts w:hint="eastAsia"/>
        </w:rPr>
        <w:t>ę</w:t>
      </w:r>
      <w:r w:rsidRPr="009D43EE">
        <w:t>d</w:t>
      </w:r>
      <w:r w:rsidRPr="009D43EE">
        <w:rPr>
          <w:rFonts w:hint="eastAsia"/>
        </w:rPr>
        <w:t>ą</w:t>
      </w:r>
      <w:r w:rsidRPr="009D43EE">
        <w:t xml:space="preserve"> podlega</w:t>
      </w:r>
      <w:r w:rsidRPr="009D43EE">
        <w:rPr>
          <w:rFonts w:hint="eastAsia"/>
        </w:rPr>
        <w:t>ć</w:t>
      </w:r>
      <w:r w:rsidRPr="009D43EE">
        <w:t xml:space="preserve"> opodatkowaniu podatkiem od nieruchomo</w:t>
      </w:r>
      <w:r w:rsidRPr="009D43EE">
        <w:rPr>
          <w:rFonts w:hint="eastAsia"/>
        </w:rPr>
        <w:t>ś</w:t>
      </w:r>
      <w:r w:rsidRPr="009D43EE">
        <w:t xml:space="preserve">ci jako budynki. </w:t>
      </w:r>
    </w:p>
    <w:p w:rsidR="00217D50" w:rsidRPr="009D43EE" w:rsidRDefault="00217D50" w:rsidP="003C6BF2">
      <w:r w:rsidRPr="009D43EE">
        <w:lastRenderedPageBreak/>
        <w:t>Natomiast w my</w:t>
      </w:r>
      <w:r w:rsidRPr="009D43EE">
        <w:rPr>
          <w:rFonts w:hint="eastAsia"/>
        </w:rPr>
        <w:t>ś</w:t>
      </w:r>
      <w:r w:rsidRPr="009D43EE">
        <w:t xml:space="preserve">l art. 1a ust. 1 pkt 2 </w:t>
      </w:r>
      <w:proofErr w:type="spellStart"/>
      <w:r w:rsidRPr="009D43EE">
        <w:t>upol</w:t>
      </w:r>
      <w:proofErr w:type="spellEnd"/>
      <w:r w:rsidRPr="009D43EE">
        <w:t>, budowl</w:t>
      </w:r>
      <w:r w:rsidRPr="009D43EE">
        <w:rPr>
          <w:rFonts w:hint="eastAsia"/>
        </w:rPr>
        <w:t>ą</w:t>
      </w:r>
      <w:r w:rsidRPr="009D43EE">
        <w:t xml:space="preserve"> w rozumieniu przepisów </w:t>
      </w:r>
      <w:proofErr w:type="spellStart"/>
      <w:r w:rsidRPr="009D43EE">
        <w:t>upol</w:t>
      </w:r>
      <w:proofErr w:type="spellEnd"/>
      <w:r w:rsidRPr="009D43EE">
        <w:t xml:space="preserve"> jest obiekt budowlany w</w:t>
      </w:r>
      <w:r w:rsidR="00902878">
        <w:t> </w:t>
      </w:r>
      <w:r w:rsidRPr="009D43EE">
        <w:t>rozumieniu przepisów prawa budowlanego nieb</w:t>
      </w:r>
      <w:r w:rsidRPr="009D43EE">
        <w:rPr>
          <w:rFonts w:hint="eastAsia"/>
        </w:rPr>
        <w:t>ę</w:t>
      </w:r>
      <w:r w:rsidRPr="009D43EE">
        <w:t>d</w:t>
      </w:r>
      <w:r w:rsidRPr="009D43EE">
        <w:rPr>
          <w:rFonts w:hint="eastAsia"/>
        </w:rPr>
        <w:t>ą</w:t>
      </w:r>
      <w:r w:rsidRPr="009D43EE">
        <w:t>cy budynkiem lub obiektem ma</w:t>
      </w:r>
      <w:r w:rsidRPr="009D43EE">
        <w:rPr>
          <w:rFonts w:hint="eastAsia"/>
        </w:rPr>
        <w:t>ł</w:t>
      </w:r>
      <w:r w:rsidRPr="009D43EE">
        <w:t>ej architektury, a tak</w:t>
      </w:r>
      <w:r w:rsidRPr="009D43EE">
        <w:rPr>
          <w:rFonts w:hint="eastAsia"/>
        </w:rPr>
        <w:t>ż</w:t>
      </w:r>
      <w:r w:rsidRPr="009D43EE">
        <w:t>e urz</w:t>
      </w:r>
      <w:r w:rsidRPr="009D43EE">
        <w:rPr>
          <w:rFonts w:hint="eastAsia"/>
        </w:rPr>
        <w:t>ą</w:t>
      </w:r>
      <w:r w:rsidRPr="009D43EE">
        <w:t>dzenie budowlane w rozumieniu przepisów prawa budowlanego zwi</w:t>
      </w:r>
      <w:r w:rsidRPr="009D43EE">
        <w:rPr>
          <w:rFonts w:hint="eastAsia"/>
        </w:rPr>
        <w:t>ą</w:t>
      </w:r>
      <w:r w:rsidRPr="009D43EE">
        <w:t>zane z obiektem budowlanym, które zapewnia mo</w:t>
      </w:r>
      <w:r w:rsidRPr="009D43EE">
        <w:rPr>
          <w:rFonts w:hint="eastAsia"/>
        </w:rPr>
        <w:t>ż</w:t>
      </w:r>
      <w:r w:rsidRPr="009D43EE">
        <w:t>liwo</w:t>
      </w:r>
      <w:r w:rsidRPr="009D43EE">
        <w:rPr>
          <w:rFonts w:hint="eastAsia"/>
        </w:rPr>
        <w:t>ść</w:t>
      </w:r>
      <w:r w:rsidRPr="009D43EE">
        <w:t xml:space="preserve"> u</w:t>
      </w:r>
      <w:r w:rsidRPr="009D43EE">
        <w:rPr>
          <w:rFonts w:hint="eastAsia"/>
        </w:rPr>
        <w:t>ż</w:t>
      </w:r>
      <w:r w:rsidRPr="009D43EE">
        <w:t>ytkowania obiektu zgodnie z jego przeznaczeniem. Podkre</w:t>
      </w:r>
      <w:r w:rsidRPr="009D43EE">
        <w:rPr>
          <w:rFonts w:hint="eastAsia"/>
        </w:rPr>
        <w:t>ś</w:t>
      </w:r>
      <w:r w:rsidRPr="009D43EE">
        <w:t xml:space="preserve">lenia wymaga fakt, </w:t>
      </w:r>
      <w:r w:rsidRPr="009D43EE">
        <w:rPr>
          <w:rFonts w:hint="eastAsia"/>
        </w:rPr>
        <w:t>ż</w:t>
      </w:r>
      <w:r w:rsidRPr="009D43EE">
        <w:t xml:space="preserve">e zawarta w art. 1a pkt 2 </w:t>
      </w:r>
      <w:proofErr w:type="spellStart"/>
      <w:r w:rsidRPr="009D43EE">
        <w:t>upol</w:t>
      </w:r>
      <w:proofErr w:type="spellEnd"/>
      <w:r w:rsidRPr="009D43EE">
        <w:t xml:space="preserve"> definicja budowli odsy</w:t>
      </w:r>
      <w:r w:rsidRPr="009D43EE">
        <w:rPr>
          <w:rFonts w:hint="eastAsia"/>
        </w:rPr>
        <w:t>ł</w:t>
      </w:r>
      <w:r w:rsidRPr="009D43EE">
        <w:t xml:space="preserve">a do definicji budowli zawartej w ustawie z dnia 7 lipca 1994 roku – Prawo budowlane (Dz. U. z 2019 r. poz. 1186, z </w:t>
      </w:r>
      <w:proofErr w:type="spellStart"/>
      <w:r w:rsidRPr="009D43EE">
        <w:t>pó</w:t>
      </w:r>
      <w:r w:rsidRPr="009D43EE">
        <w:rPr>
          <w:rFonts w:hint="eastAsia"/>
        </w:rPr>
        <w:t>ź</w:t>
      </w:r>
      <w:r w:rsidRPr="009D43EE">
        <w:t>n</w:t>
      </w:r>
      <w:proofErr w:type="spellEnd"/>
      <w:r w:rsidRPr="009D43EE">
        <w:t>. zm.; dalej jako „Prawo budowlane”).</w:t>
      </w:r>
    </w:p>
    <w:p w:rsidR="00217D50" w:rsidRPr="009D43EE" w:rsidRDefault="00217D50" w:rsidP="003C6BF2">
      <w:r w:rsidRPr="009D43EE">
        <w:t>Nie ulega w</w:t>
      </w:r>
      <w:r w:rsidRPr="009D43EE">
        <w:rPr>
          <w:rFonts w:hint="eastAsia"/>
        </w:rPr>
        <w:t>ą</w:t>
      </w:r>
      <w:r w:rsidRPr="009D43EE">
        <w:t>tpliwo</w:t>
      </w:r>
      <w:r w:rsidRPr="009D43EE">
        <w:rPr>
          <w:rFonts w:hint="eastAsia"/>
        </w:rPr>
        <w:t>ś</w:t>
      </w:r>
      <w:r w:rsidRPr="009D43EE">
        <w:t xml:space="preserve">ci, </w:t>
      </w:r>
      <w:r w:rsidRPr="009D43EE">
        <w:rPr>
          <w:rFonts w:hint="eastAsia"/>
        </w:rPr>
        <w:t>ż</w:t>
      </w:r>
      <w:r w:rsidRPr="009D43EE">
        <w:t>e wskazane we wniosku kontenery mog</w:t>
      </w:r>
      <w:r w:rsidRPr="009D43EE">
        <w:rPr>
          <w:rFonts w:hint="eastAsia"/>
        </w:rPr>
        <w:t>ą</w:t>
      </w:r>
      <w:r w:rsidRPr="009D43EE">
        <w:t xml:space="preserve"> zosta</w:t>
      </w:r>
      <w:r w:rsidRPr="009D43EE">
        <w:rPr>
          <w:rFonts w:hint="eastAsia"/>
        </w:rPr>
        <w:t>ć</w:t>
      </w:r>
      <w:r w:rsidRPr="009D43EE">
        <w:t xml:space="preserve"> zakwalifikowane jako obiekty kontenerowe, o których mowa w przepisie art. 3 pkt 5 Prawa budowlanego, tj. jako tymczasowe obiekty budowlane.</w:t>
      </w:r>
    </w:p>
    <w:p w:rsidR="00217D50" w:rsidRPr="009D43EE" w:rsidRDefault="00217D50" w:rsidP="003C6BF2">
      <w:r w:rsidRPr="009D43EE">
        <w:t>Trybuna</w:t>
      </w:r>
      <w:r w:rsidRPr="009D43EE">
        <w:rPr>
          <w:rFonts w:hint="eastAsia"/>
        </w:rPr>
        <w:t>ł</w:t>
      </w:r>
      <w:r w:rsidRPr="009D43EE">
        <w:t xml:space="preserve"> Konstytucyjny w wyroku z dnia 13 wrze</w:t>
      </w:r>
      <w:r w:rsidRPr="009D43EE">
        <w:rPr>
          <w:rFonts w:hint="eastAsia"/>
        </w:rPr>
        <w:t>ś</w:t>
      </w:r>
      <w:r w:rsidRPr="009D43EE">
        <w:t>nia 2011 r., sygn. akt P 33/09 (OTK-A 2011/7/71), stwierdzi</w:t>
      </w:r>
      <w:r w:rsidRPr="009D43EE">
        <w:rPr>
          <w:rFonts w:hint="eastAsia"/>
        </w:rPr>
        <w:t>ł</w:t>
      </w:r>
      <w:r w:rsidRPr="009D43EE">
        <w:t xml:space="preserve">, </w:t>
      </w:r>
      <w:r w:rsidRPr="009D43EE">
        <w:rPr>
          <w:rFonts w:hint="eastAsia"/>
        </w:rPr>
        <w:t>ż</w:t>
      </w:r>
      <w:r w:rsidRPr="009D43EE">
        <w:t xml:space="preserve">e za budowle w rozumieniu </w:t>
      </w:r>
      <w:proofErr w:type="spellStart"/>
      <w:r w:rsidRPr="009D43EE">
        <w:t>upol</w:t>
      </w:r>
      <w:proofErr w:type="spellEnd"/>
      <w:r w:rsidRPr="009D43EE">
        <w:t xml:space="preserve"> mo</w:t>
      </w:r>
      <w:r w:rsidRPr="009D43EE">
        <w:rPr>
          <w:rFonts w:hint="eastAsia"/>
        </w:rPr>
        <w:t>ż</w:t>
      </w:r>
      <w:r w:rsidRPr="009D43EE">
        <w:t>na uzna</w:t>
      </w:r>
      <w:r w:rsidRPr="009D43EE">
        <w:rPr>
          <w:rFonts w:hint="eastAsia"/>
        </w:rPr>
        <w:t>ć</w:t>
      </w:r>
      <w:r w:rsidRPr="009D43EE">
        <w:t xml:space="preserve"> jedynie budowle wymienione expressis verbis w art. 3 pkt 3 Prawa budowlanego, w innych przepisach tej ustawy lub w za</w:t>
      </w:r>
      <w:r w:rsidRPr="009D43EE">
        <w:rPr>
          <w:rFonts w:hint="eastAsia"/>
        </w:rPr>
        <w:t>łą</w:t>
      </w:r>
      <w:r w:rsidRPr="009D43EE">
        <w:t xml:space="preserve">czniku do niej. W uzasadnieniu tego wyroku wskazano, </w:t>
      </w:r>
      <w:r w:rsidRPr="009D43EE">
        <w:rPr>
          <w:rFonts w:hint="eastAsia"/>
        </w:rPr>
        <w:t>ż</w:t>
      </w:r>
      <w:r w:rsidRPr="009D43EE">
        <w:t>e jakkolwiek nie budzi w zasadzie zastrze</w:t>
      </w:r>
      <w:r w:rsidRPr="009D43EE">
        <w:rPr>
          <w:rFonts w:hint="eastAsia"/>
        </w:rPr>
        <w:t>ż</w:t>
      </w:r>
      <w:r w:rsidRPr="009D43EE">
        <w:t>e</w:t>
      </w:r>
      <w:r w:rsidRPr="009D43EE">
        <w:rPr>
          <w:rFonts w:hint="eastAsia"/>
        </w:rPr>
        <w:t>ń</w:t>
      </w:r>
      <w:r w:rsidRPr="009D43EE">
        <w:t xml:space="preserve"> sformu</w:t>
      </w:r>
      <w:r w:rsidRPr="009D43EE">
        <w:rPr>
          <w:rFonts w:hint="eastAsia"/>
        </w:rPr>
        <w:t>ł</w:t>
      </w:r>
      <w:r w:rsidRPr="009D43EE">
        <w:t>owanie przez ustawodawc</w:t>
      </w:r>
      <w:r w:rsidRPr="009D43EE">
        <w:rPr>
          <w:rFonts w:hint="eastAsia"/>
        </w:rPr>
        <w:t>ę</w:t>
      </w:r>
      <w:r w:rsidRPr="009D43EE">
        <w:t xml:space="preserve"> na potrzeby regulacji prawa budowlanego definicji "budowli" i "urz</w:t>
      </w:r>
      <w:r w:rsidRPr="009D43EE">
        <w:rPr>
          <w:rFonts w:hint="eastAsia"/>
        </w:rPr>
        <w:t>ą</w:t>
      </w:r>
      <w:r w:rsidRPr="009D43EE">
        <w:t>dzenia budowlanego" jako definicji otwartych, których zastosowanie w praktyce wymaga nierzadko pos</w:t>
      </w:r>
      <w:r w:rsidRPr="009D43EE">
        <w:rPr>
          <w:rFonts w:hint="eastAsia"/>
        </w:rPr>
        <w:t>ł</w:t>
      </w:r>
      <w:r w:rsidRPr="009D43EE">
        <w:t>u</w:t>
      </w:r>
      <w:r w:rsidRPr="009D43EE">
        <w:rPr>
          <w:rFonts w:hint="eastAsia"/>
        </w:rPr>
        <w:t>ż</w:t>
      </w:r>
      <w:r w:rsidRPr="009D43EE">
        <w:t>enia si</w:t>
      </w:r>
      <w:r w:rsidRPr="009D43EE">
        <w:rPr>
          <w:rFonts w:hint="eastAsia"/>
        </w:rPr>
        <w:t>ę</w:t>
      </w:r>
      <w:r w:rsidRPr="009D43EE">
        <w:t xml:space="preserve"> analogi</w:t>
      </w:r>
      <w:r w:rsidRPr="009D43EE">
        <w:rPr>
          <w:rFonts w:hint="eastAsia"/>
        </w:rPr>
        <w:t>ą</w:t>
      </w:r>
      <w:r w:rsidRPr="009D43EE">
        <w:t xml:space="preserve"> z ustawy, to nie sposób nie zauwa</w:t>
      </w:r>
      <w:r w:rsidRPr="009D43EE">
        <w:rPr>
          <w:rFonts w:hint="eastAsia"/>
        </w:rPr>
        <w:t>ż</w:t>
      </w:r>
      <w:r w:rsidRPr="009D43EE">
        <w:t>y</w:t>
      </w:r>
      <w:r w:rsidRPr="009D43EE">
        <w:rPr>
          <w:rFonts w:hint="eastAsia"/>
        </w:rPr>
        <w:t>ć</w:t>
      </w:r>
      <w:r w:rsidRPr="009D43EE">
        <w:t xml:space="preserve">, </w:t>
      </w:r>
      <w:r w:rsidRPr="009D43EE">
        <w:rPr>
          <w:rFonts w:hint="eastAsia"/>
        </w:rPr>
        <w:t>ż</w:t>
      </w:r>
      <w:r w:rsidRPr="009D43EE">
        <w:t>e</w:t>
      </w:r>
      <w:r w:rsidR="00902878">
        <w:t> </w:t>
      </w:r>
      <w:r w:rsidRPr="009D43EE">
        <w:t xml:space="preserve">te same definicje w odniesieniu do </w:t>
      </w:r>
      <w:proofErr w:type="spellStart"/>
      <w:r w:rsidRPr="009D43EE">
        <w:t>upol</w:t>
      </w:r>
      <w:proofErr w:type="spellEnd"/>
      <w:r w:rsidRPr="009D43EE">
        <w:t xml:space="preserve"> nie mog</w:t>
      </w:r>
      <w:r w:rsidRPr="009D43EE">
        <w:rPr>
          <w:rFonts w:hint="eastAsia"/>
        </w:rPr>
        <w:t>ą</w:t>
      </w:r>
      <w:r w:rsidRPr="009D43EE">
        <w:t xml:space="preserve"> funkcjonowa</w:t>
      </w:r>
      <w:r w:rsidRPr="009D43EE">
        <w:rPr>
          <w:rFonts w:hint="eastAsia"/>
        </w:rPr>
        <w:t>ć</w:t>
      </w:r>
      <w:r w:rsidRPr="009D43EE">
        <w:t xml:space="preserve"> w identyczny sposób. W wypadku prawa </w:t>
      </w:r>
      <w:proofErr w:type="spellStart"/>
      <w:r w:rsidRPr="009D43EE">
        <w:t>daninowego</w:t>
      </w:r>
      <w:proofErr w:type="spellEnd"/>
      <w:r w:rsidRPr="009D43EE">
        <w:t xml:space="preserve"> gwarancje dostatecznej okre</w:t>
      </w:r>
      <w:r w:rsidRPr="009D43EE">
        <w:rPr>
          <w:rFonts w:hint="eastAsia"/>
        </w:rPr>
        <w:t>ś</w:t>
      </w:r>
      <w:r w:rsidRPr="009D43EE">
        <w:t>lono</w:t>
      </w:r>
      <w:r w:rsidRPr="009D43EE">
        <w:rPr>
          <w:rFonts w:hint="eastAsia"/>
        </w:rPr>
        <w:t>ś</w:t>
      </w:r>
      <w:r w:rsidRPr="009D43EE">
        <w:t>ci regulacji prawnych wynikaj</w:t>
      </w:r>
      <w:r w:rsidRPr="009D43EE">
        <w:rPr>
          <w:rFonts w:hint="eastAsia"/>
        </w:rPr>
        <w:t>ą</w:t>
      </w:r>
      <w:r w:rsidRPr="009D43EE">
        <w:t>ce z zasady poprawnej legislacji ulegaj</w:t>
      </w:r>
      <w:r w:rsidRPr="009D43EE">
        <w:rPr>
          <w:rFonts w:hint="eastAsia"/>
        </w:rPr>
        <w:t>ą</w:t>
      </w:r>
      <w:r w:rsidRPr="009D43EE">
        <w:t xml:space="preserve"> istotnemu wzmocnieniu ze wzgl</w:t>
      </w:r>
      <w:r w:rsidRPr="009D43EE">
        <w:rPr>
          <w:rFonts w:hint="eastAsia"/>
        </w:rPr>
        <w:t>ę</w:t>
      </w:r>
      <w:r w:rsidRPr="009D43EE">
        <w:t>du tre</w:t>
      </w:r>
      <w:r w:rsidRPr="009D43EE">
        <w:rPr>
          <w:rFonts w:hint="eastAsia"/>
        </w:rPr>
        <w:t>ść</w:t>
      </w:r>
      <w:r w:rsidRPr="009D43EE">
        <w:t xml:space="preserve"> art. 84 i art. 217 Konstytucji.</w:t>
      </w:r>
    </w:p>
    <w:p w:rsidR="00217D50" w:rsidRPr="009D43EE" w:rsidRDefault="00217D50" w:rsidP="003C6BF2">
      <w:r w:rsidRPr="009D43EE">
        <w:t>Naczelny Sąd Administracyjny w wyroku z dnia 22 grudnia 2011 roku, sygn. akt II FSK 1389/11 (CBOSA), stwierdził miedzy innymi, iż „</w:t>
      </w:r>
      <w:r w:rsidRPr="009D43EE">
        <w:rPr>
          <w:rStyle w:val="highlight1"/>
          <w:rFonts w:cs="Calibri"/>
          <w:b w:val="0"/>
        </w:rPr>
        <w:t>W</w:t>
      </w:r>
      <w:r w:rsidRPr="009D43EE">
        <w:t xml:space="preserve"> ocenie Sądu ustawodawca podatkowy określając </w:t>
      </w:r>
      <w:r w:rsidRPr="009D43EE">
        <w:rPr>
          <w:rStyle w:val="highlight1"/>
          <w:rFonts w:cs="Calibri"/>
          <w:b w:val="0"/>
        </w:rPr>
        <w:t>w</w:t>
      </w:r>
      <w:r w:rsidRPr="009D43EE">
        <w:t xml:space="preserve"> art. 2 ust. 1 </w:t>
      </w:r>
      <w:proofErr w:type="spellStart"/>
      <w:r w:rsidRPr="009D43EE">
        <w:t>u.p.o.l</w:t>
      </w:r>
      <w:proofErr w:type="spellEnd"/>
      <w:r w:rsidRPr="009D43EE">
        <w:t>. przedmiot opodatkowania podatkiem od nieruchomości traktował zawarte tam wyliczenie jako zamknięte, a odsyłając do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regulacji</w:t>
      </w:r>
      <w:r w:rsidRPr="009D43EE">
        <w:t xml:space="preserve"> Prawa budowlanego </w:t>
      </w:r>
      <w:r w:rsidRPr="009D43EE">
        <w:rPr>
          <w:rStyle w:val="highlight1"/>
          <w:rFonts w:cs="Calibri"/>
          <w:b w:val="0"/>
        </w:rPr>
        <w:t>w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zakresie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pojęcia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budowla</w:t>
      </w:r>
      <w:r w:rsidRPr="009D43EE">
        <w:rPr>
          <w:b/>
        </w:rPr>
        <w:t xml:space="preserve">, </w:t>
      </w:r>
      <w:r w:rsidRPr="009D43EE">
        <w:rPr>
          <w:rStyle w:val="highlight1"/>
          <w:rFonts w:cs="Calibri"/>
          <w:b w:val="0"/>
        </w:rPr>
        <w:t>nakazywał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skorzystanie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z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zawartych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w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nim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regulacji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w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sposób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ścisły</w:t>
      </w:r>
      <w:r w:rsidRPr="00902878">
        <w:t>,</w:t>
      </w:r>
      <w:r w:rsidRPr="009D43EE">
        <w:rPr>
          <w:b/>
        </w:rPr>
        <w:t xml:space="preserve"> </w:t>
      </w:r>
      <w:r w:rsidRPr="009D43EE">
        <w:rPr>
          <w:rStyle w:val="highlight1"/>
          <w:rFonts w:cs="Calibri"/>
          <w:b w:val="0"/>
        </w:rPr>
        <w:t>ograniczony</w:t>
      </w:r>
      <w:r w:rsidRPr="009D43EE">
        <w:t xml:space="preserve">, bez możliwości dokonywania jakiejkolwiek wykładni rozszerzającej na inne instytucje tam zawarte, służące bez wątpienia innym celom niż ustawa podatkowa. </w:t>
      </w:r>
      <w:r w:rsidRPr="009D43EE">
        <w:rPr>
          <w:rStyle w:val="highlight1"/>
          <w:rFonts w:cs="Calibri"/>
          <w:b w:val="0"/>
        </w:rPr>
        <w:t>Z</w:t>
      </w:r>
      <w:r w:rsidRPr="009D43EE">
        <w:t xml:space="preserve"> tego punktu widzenia brak jest podstaw do uznawania za budowlę, </w:t>
      </w:r>
      <w:r w:rsidRPr="009D43EE">
        <w:rPr>
          <w:rStyle w:val="highlight1"/>
          <w:rFonts w:cs="Calibri"/>
          <w:b w:val="0"/>
        </w:rPr>
        <w:t>w</w:t>
      </w:r>
      <w:r w:rsidRPr="009D43EE">
        <w:t xml:space="preserve"> rozumieniu ustawy podatkowej, także tymczasowego obiektu budowlanego.”.</w:t>
      </w:r>
    </w:p>
    <w:p w:rsidR="00217D50" w:rsidRPr="009D43EE" w:rsidRDefault="00217D50" w:rsidP="003C6BF2">
      <w:r w:rsidRPr="009D43EE">
        <w:t>Z kolei Naczelny S</w:t>
      </w:r>
      <w:r w:rsidRPr="009D43EE">
        <w:rPr>
          <w:rFonts w:hint="eastAsia"/>
        </w:rPr>
        <w:t>ą</w:t>
      </w:r>
      <w:r w:rsidRPr="009D43EE">
        <w:t>d Administracyjny w uchwale sk</w:t>
      </w:r>
      <w:r w:rsidRPr="009D43EE">
        <w:rPr>
          <w:rFonts w:hint="eastAsia"/>
        </w:rPr>
        <w:t>ł</w:t>
      </w:r>
      <w:r w:rsidRPr="009D43EE">
        <w:t>adu siedmiu s</w:t>
      </w:r>
      <w:r w:rsidRPr="009D43EE">
        <w:rPr>
          <w:rFonts w:hint="eastAsia"/>
        </w:rPr>
        <w:t>ę</w:t>
      </w:r>
      <w:r w:rsidRPr="009D43EE">
        <w:t>dziów z dnia 3 lutego 2014 r., sygn. akt II FPS 11/13 (</w:t>
      </w:r>
      <w:proofErr w:type="spellStart"/>
      <w:r w:rsidRPr="009D43EE">
        <w:t>ONSAiWSA</w:t>
      </w:r>
      <w:proofErr w:type="spellEnd"/>
      <w:r w:rsidRPr="009D43EE">
        <w:t xml:space="preserve"> 2014/4/58), stwierdzi</w:t>
      </w:r>
      <w:r w:rsidRPr="009D43EE">
        <w:rPr>
          <w:rFonts w:hint="eastAsia"/>
        </w:rPr>
        <w:t>ł</w:t>
      </w:r>
      <w:r w:rsidRPr="009D43EE">
        <w:t xml:space="preserve">, </w:t>
      </w:r>
      <w:r w:rsidRPr="009D43EE">
        <w:rPr>
          <w:rFonts w:hint="eastAsia"/>
        </w:rPr>
        <w:t>ż</w:t>
      </w:r>
      <w:r w:rsidRPr="009D43EE">
        <w:t>e tymczasowy obiekt budowlany, o którym mowa w art. 3 pkt 5 Prawa budowlanego, mo</w:t>
      </w:r>
      <w:r w:rsidRPr="009D43EE">
        <w:rPr>
          <w:rFonts w:hint="eastAsia"/>
        </w:rPr>
        <w:t>ż</w:t>
      </w:r>
      <w:r w:rsidRPr="009D43EE">
        <w:t>e by</w:t>
      </w:r>
      <w:r w:rsidRPr="009D43EE">
        <w:rPr>
          <w:rFonts w:hint="eastAsia"/>
        </w:rPr>
        <w:t>ć</w:t>
      </w:r>
      <w:r w:rsidRPr="009D43EE">
        <w:t xml:space="preserve"> budowl</w:t>
      </w:r>
      <w:r w:rsidRPr="009D43EE">
        <w:rPr>
          <w:rFonts w:hint="eastAsia"/>
        </w:rPr>
        <w:t>ą</w:t>
      </w:r>
      <w:r w:rsidRPr="009D43EE">
        <w:t xml:space="preserve"> w rozumieniu art. 1a ust. 1 pkt 2 </w:t>
      </w:r>
      <w:proofErr w:type="spellStart"/>
      <w:r w:rsidRPr="009D43EE">
        <w:t>upol</w:t>
      </w:r>
      <w:proofErr w:type="spellEnd"/>
      <w:r w:rsidRPr="009D43EE">
        <w:t>, je</w:t>
      </w:r>
      <w:r w:rsidRPr="009D43EE">
        <w:rPr>
          <w:rFonts w:hint="eastAsia"/>
        </w:rPr>
        <w:t>ż</w:t>
      </w:r>
      <w:r w:rsidRPr="009D43EE">
        <w:t>eli jest budowl</w:t>
      </w:r>
      <w:r w:rsidRPr="009D43EE">
        <w:rPr>
          <w:rFonts w:hint="eastAsia"/>
        </w:rPr>
        <w:t>ą</w:t>
      </w:r>
      <w:r w:rsidRPr="009D43EE">
        <w:t xml:space="preserve"> wprost wymienion</w:t>
      </w:r>
      <w:r w:rsidRPr="009D43EE">
        <w:rPr>
          <w:rFonts w:hint="eastAsia"/>
        </w:rPr>
        <w:t>ą</w:t>
      </w:r>
      <w:r w:rsidRPr="009D43EE">
        <w:t xml:space="preserve"> w art. 3 pkt 3 Prawa budowlanego lub innych przepisach tej ustawy oraz za</w:t>
      </w:r>
      <w:r w:rsidRPr="009D43EE">
        <w:rPr>
          <w:rFonts w:hint="eastAsia"/>
        </w:rPr>
        <w:t>łą</w:t>
      </w:r>
      <w:r w:rsidRPr="009D43EE">
        <w:t>czniku do niej.</w:t>
      </w:r>
    </w:p>
    <w:p w:rsidR="00217D50" w:rsidRPr="009D43EE" w:rsidRDefault="00217D50" w:rsidP="003C6BF2">
      <w:r w:rsidRPr="009D43EE">
        <w:t>Naczelny Sąd Administracyjny w wyroku z dnia 15 marca 2016 r., sygn. akt II FSK 84/14 (CBOSA) wskazał, że</w:t>
      </w:r>
      <w:r w:rsidR="00902878">
        <w:t> </w:t>
      </w:r>
      <w:r w:rsidRPr="009D43EE">
        <w:t>„Ocena, czy kontener mo</w:t>
      </w:r>
      <w:r w:rsidRPr="009D43EE">
        <w:rPr>
          <w:rFonts w:hint="eastAsia"/>
        </w:rPr>
        <w:t>ż</w:t>
      </w:r>
      <w:r w:rsidRPr="009D43EE">
        <w:t>e zosta</w:t>
      </w:r>
      <w:r w:rsidRPr="009D43EE">
        <w:rPr>
          <w:rFonts w:hint="eastAsia"/>
        </w:rPr>
        <w:t>ć</w:t>
      </w:r>
      <w:r w:rsidRPr="009D43EE">
        <w:t xml:space="preserve"> opodatkowany podatkiem od nieruchomo</w:t>
      </w:r>
      <w:r w:rsidRPr="009D43EE">
        <w:rPr>
          <w:rFonts w:hint="eastAsia"/>
        </w:rPr>
        <w:t>ś</w:t>
      </w:r>
      <w:r w:rsidRPr="009D43EE">
        <w:t>ci jako budowla (jej cz</w:t>
      </w:r>
      <w:r w:rsidRPr="009D43EE">
        <w:rPr>
          <w:rFonts w:hint="eastAsia"/>
        </w:rPr>
        <w:t>ęść</w:t>
      </w:r>
      <w:r w:rsidRPr="009D43EE">
        <w:t>), zale</w:t>
      </w:r>
      <w:r w:rsidRPr="009D43EE">
        <w:rPr>
          <w:rFonts w:hint="eastAsia"/>
        </w:rPr>
        <w:t>ż</w:t>
      </w:r>
      <w:r w:rsidRPr="009D43EE">
        <w:t xml:space="preserve">na jest od wykazania, </w:t>
      </w:r>
      <w:r w:rsidRPr="009D43EE">
        <w:rPr>
          <w:rFonts w:hint="eastAsia"/>
        </w:rPr>
        <w:t>ż</w:t>
      </w:r>
      <w:r w:rsidRPr="009D43EE">
        <w:t>e mie</w:t>
      </w:r>
      <w:r w:rsidRPr="009D43EE">
        <w:rPr>
          <w:rFonts w:hint="eastAsia"/>
        </w:rPr>
        <w:t>ś</w:t>
      </w:r>
      <w:r w:rsidRPr="009D43EE">
        <w:t>ci si</w:t>
      </w:r>
      <w:r w:rsidRPr="009D43EE">
        <w:rPr>
          <w:rFonts w:hint="eastAsia"/>
        </w:rPr>
        <w:t>ę</w:t>
      </w:r>
      <w:r w:rsidRPr="009D43EE">
        <w:t xml:space="preserve"> on w katalogu wymienionym w art. 3 pkt 3 </w:t>
      </w:r>
      <w:proofErr w:type="spellStart"/>
      <w:r w:rsidRPr="009D43EE">
        <w:t>p.b</w:t>
      </w:r>
      <w:proofErr w:type="spellEnd"/>
      <w:r w:rsidRPr="009D43EE">
        <w:t>.”.</w:t>
      </w:r>
    </w:p>
    <w:p w:rsidR="00217D50" w:rsidRPr="009D43EE" w:rsidRDefault="00217D50" w:rsidP="003C6BF2">
      <w:r w:rsidRPr="009D43EE">
        <w:t>Trybunał Konstytucyjny w wyroku z dnia 13 grudnia 2017 r., sygn. akt SK 48/15, wskazał m.in.: „Obiekty kontenerowe s</w:t>
      </w:r>
      <w:r w:rsidRPr="009D43EE">
        <w:rPr>
          <w:rFonts w:hint="eastAsia"/>
        </w:rPr>
        <w:t>ą</w:t>
      </w:r>
      <w:r w:rsidRPr="009D43EE">
        <w:t xml:space="preserve"> w </w:t>
      </w:r>
      <w:r w:rsidRPr="009D43EE">
        <w:rPr>
          <w:rFonts w:hint="eastAsia"/>
        </w:rPr>
        <w:t>ś</w:t>
      </w:r>
      <w:r w:rsidRPr="009D43EE">
        <w:t xml:space="preserve">wietle art. 3 pkt 5 </w:t>
      </w:r>
      <w:proofErr w:type="spellStart"/>
      <w:r w:rsidRPr="009D43EE">
        <w:t>p.b</w:t>
      </w:r>
      <w:proofErr w:type="spellEnd"/>
      <w:r w:rsidRPr="009D43EE">
        <w:t>. obiektami budowlanymi, a zatem – wykluczaj</w:t>
      </w:r>
      <w:r w:rsidRPr="009D43EE">
        <w:rPr>
          <w:rFonts w:hint="eastAsia"/>
        </w:rPr>
        <w:t>ą</w:t>
      </w:r>
      <w:r w:rsidRPr="009D43EE">
        <w:t>c mo</w:t>
      </w:r>
      <w:r w:rsidRPr="009D43EE">
        <w:rPr>
          <w:rFonts w:hint="eastAsia"/>
        </w:rPr>
        <w:t>ż</w:t>
      </w:r>
      <w:r w:rsidRPr="009D43EE">
        <w:t>liwo</w:t>
      </w:r>
      <w:r w:rsidRPr="009D43EE">
        <w:rPr>
          <w:rFonts w:hint="eastAsia"/>
        </w:rPr>
        <w:t>ść</w:t>
      </w:r>
      <w:r w:rsidRPr="009D43EE">
        <w:t xml:space="preserve"> uznania ich za obiekty ma</w:t>
      </w:r>
      <w:r w:rsidRPr="009D43EE">
        <w:rPr>
          <w:rFonts w:hint="eastAsia"/>
        </w:rPr>
        <w:t>ł</w:t>
      </w:r>
      <w:r w:rsidRPr="009D43EE">
        <w:t>ej architektury – musz</w:t>
      </w:r>
      <w:r w:rsidRPr="009D43EE">
        <w:rPr>
          <w:rFonts w:hint="eastAsia"/>
        </w:rPr>
        <w:t>ą</w:t>
      </w:r>
      <w:r w:rsidRPr="009D43EE">
        <w:t xml:space="preserve"> zosta</w:t>
      </w:r>
      <w:r w:rsidRPr="009D43EE">
        <w:rPr>
          <w:rFonts w:hint="eastAsia"/>
        </w:rPr>
        <w:t>ć</w:t>
      </w:r>
      <w:r w:rsidRPr="009D43EE">
        <w:t xml:space="preserve"> uznane albo za budynki, albo za budowle. Omawiany przepis prawny traktuje je wprawdzie jako obiekty niepo</w:t>
      </w:r>
      <w:r w:rsidRPr="009D43EE">
        <w:rPr>
          <w:rFonts w:hint="eastAsia"/>
        </w:rPr>
        <w:t>łą</w:t>
      </w:r>
      <w:r w:rsidRPr="009D43EE">
        <w:t>czone trwale z gruntem, jednak nie nale</w:t>
      </w:r>
      <w:r w:rsidRPr="009D43EE">
        <w:rPr>
          <w:rFonts w:hint="eastAsia"/>
        </w:rPr>
        <w:t>ż</w:t>
      </w:r>
      <w:r w:rsidRPr="009D43EE">
        <w:t>y tego interpretowa</w:t>
      </w:r>
      <w:r w:rsidRPr="009D43EE">
        <w:rPr>
          <w:rFonts w:hint="eastAsia"/>
        </w:rPr>
        <w:t>ć</w:t>
      </w:r>
      <w:r w:rsidRPr="009D43EE">
        <w:t xml:space="preserve"> jako ustanowienia fikcji prawnej, zgodnie z któr</w:t>
      </w:r>
      <w:r w:rsidRPr="009D43EE">
        <w:rPr>
          <w:rFonts w:hint="eastAsia"/>
        </w:rPr>
        <w:t>ą</w:t>
      </w:r>
      <w:r w:rsidRPr="009D43EE">
        <w:t xml:space="preserve"> w wypadku ka</w:t>
      </w:r>
      <w:r w:rsidRPr="009D43EE">
        <w:rPr>
          <w:rFonts w:hint="eastAsia"/>
        </w:rPr>
        <w:t>ż</w:t>
      </w:r>
      <w:r w:rsidRPr="009D43EE">
        <w:t>dego obiektu kontenerowego nie wyst</w:t>
      </w:r>
      <w:r w:rsidRPr="009D43EE">
        <w:rPr>
          <w:rFonts w:hint="eastAsia"/>
        </w:rPr>
        <w:t>ę</w:t>
      </w:r>
      <w:r w:rsidRPr="009D43EE">
        <w:t>puje trwa</w:t>
      </w:r>
      <w:r w:rsidRPr="009D43EE">
        <w:rPr>
          <w:rFonts w:hint="eastAsia"/>
        </w:rPr>
        <w:t>ł</w:t>
      </w:r>
      <w:r w:rsidRPr="009D43EE">
        <w:t>e zwi</w:t>
      </w:r>
      <w:r w:rsidRPr="009D43EE">
        <w:rPr>
          <w:rFonts w:hint="eastAsia"/>
        </w:rPr>
        <w:t>ą</w:t>
      </w:r>
      <w:r w:rsidRPr="009D43EE">
        <w:t>zanie z gruntem. Decyduj</w:t>
      </w:r>
      <w:r w:rsidRPr="009D43EE">
        <w:rPr>
          <w:rFonts w:hint="eastAsia"/>
        </w:rPr>
        <w:t>ą</w:t>
      </w:r>
      <w:r w:rsidRPr="009D43EE">
        <w:t>ce znaczenie ma bowiem okoliczno</w:t>
      </w:r>
      <w:r w:rsidRPr="009D43EE">
        <w:rPr>
          <w:rFonts w:hint="eastAsia"/>
        </w:rPr>
        <w:t>ść</w:t>
      </w:r>
      <w:r w:rsidRPr="009D43EE">
        <w:t>, czy dany obiekt kontenerowy jest faktycznie po</w:t>
      </w:r>
      <w:r w:rsidRPr="009D43EE">
        <w:rPr>
          <w:rFonts w:hint="eastAsia"/>
        </w:rPr>
        <w:t>łą</w:t>
      </w:r>
      <w:r w:rsidRPr="009D43EE">
        <w:t>czony z gruntem w sposób trwa</w:t>
      </w:r>
      <w:r w:rsidRPr="009D43EE">
        <w:rPr>
          <w:rFonts w:hint="eastAsia"/>
        </w:rPr>
        <w:t>ł</w:t>
      </w:r>
      <w:r w:rsidRPr="009D43EE">
        <w:t>y, czy te</w:t>
      </w:r>
      <w:r w:rsidRPr="009D43EE">
        <w:rPr>
          <w:rFonts w:hint="eastAsia"/>
        </w:rPr>
        <w:t>ż</w:t>
      </w:r>
      <w:r w:rsidRPr="009D43EE">
        <w:t xml:space="preserve"> nie. W pierwszej sytuacji pierwsze</w:t>
      </w:r>
      <w:r w:rsidRPr="009D43EE">
        <w:rPr>
          <w:rFonts w:hint="eastAsia"/>
        </w:rPr>
        <w:t>ń</w:t>
      </w:r>
      <w:r w:rsidRPr="009D43EE">
        <w:t>stwo ma kwalifikacja obiektu jako budynku, a jedynie w drugiej sytuacji nale</w:t>
      </w:r>
      <w:r w:rsidRPr="009D43EE">
        <w:rPr>
          <w:rFonts w:hint="eastAsia"/>
        </w:rPr>
        <w:t>ż</w:t>
      </w:r>
      <w:r w:rsidRPr="009D43EE">
        <w:t>y uzna</w:t>
      </w:r>
      <w:r w:rsidRPr="009D43EE">
        <w:rPr>
          <w:rFonts w:hint="eastAsia"/>
        </w:rPr>
        <w:t>ć</w:t>
      </w:r>
      <w:r w:rsidRPr="009D43EE">
        <w:t xml:space="preserve">, </w:t>
      </w:r>
      <w:r w:rsidRPr="009D43EE">
        <w:rPr>
          <w:rFonts w:hint="eastAsia"/>
        </w:rPr>
        <w:t>ż</w:t>
      </w:r>
      <w:r w:rsidRPr="009D43EE">
        <w:t>e mamy do czynienia z budowl</w:t>
      </w:r>
      <w:r w:rsidRPr="009D43EE">
        <w:rPr>
          <w:rFonts w:hint="eastAsia"/>
        </w:rPr>
        <w:t>ą</w:t>
      </w:r>
      <w:r w:rsidRPr="009D43EE">
        <w:t>.”.</w:t>
      </w:r>
    </w:p>
    <w:p w:rsidR="00217D50" w:rsidRPr="009D43EE" w:rsidRDefault="00217D50" w:rsidP="003C6BF2">
      <w:r w:rsidRPr="009D43EE">
        <w:t>Nale</w:t>
      </w:r>
      <w:r w:rsidRPr="009D43EE">
        <w:rPr>
          <w:rFonts w:hint="eastAsia"/>
        </w:rPr>
        <w:t>ż</w:t>
      </w:r>
      <w:r w:rsidRPr="009D43EE">
        <w:t>y zgodzi</w:t>
      </w:r>
      <w:r w:rsidRPr="009D43EE">
        <w:rPr>
          <w:rFonts w:hint="eastAsia"/>
        </w:rPr>
        <w:t>ć</w:t>
      </w:r>
      <w:r w:rsidRPr="009D43EE">
        <w:t xml:space="preserve"> si</w:t>
      </w:r>
      <w:r w:rsidRPr="009D43EE">
        <w:rPr>
          <w:rFonts w:hint="eastAsia"/>
        </w:rPr>
        <w:t>ę</w:t>
      </w:r>
      <w:r w:rsidRPr="009D43EE">
        <w:t xml:space="preserve"> ze stanowiskiem Wojewódzkiego S</w:t>
      </w:r>
      <w:r w:rsidRPr="009D43EE">
        <w:rPr>
          <w:rFonts w:hint="eastAsia"/>
        </w:rPr>
        <w:t>ą</w:t>
      </w:r>
      <w:r w:rsidRPr="009D43EE">
        <w:t>du Administracyjnego w Szczecinie, zaprezentowanym w orzeczeniu z dnia 21 czerwca 2018 r., sygn. akt I SA/</w:t>
      </w:r>
      <w:proofErr w:type="spellStart"/>
      <w:r w:rsidRPr="009D43EE">
        <w:t>Sz</w:t>
      </w:r>
      <w:proofErr w:type="spellEnd"/>
      <w:r w:rsidRPr="009D43EE">
        <w:t xml:space="preserve"> 313/18, i</w:t>
      </w:r>
      <w:r w:rsidRPr="009D43EE">
        <w:rPr>
          <w:rFonts w:hint="eastAsia"/>
        </w:rPr>
        <w:t>ż</w:t>
      </w:r>
      <w:r w:rsidRPr="009D43EE">
        <w:t xml:space="preserve"> „W ocenie S</w:t>
      </w:r>
      <w:r w:rsidRPr="009D43EE">
        <w:rPr>
          <w:rFonts w:hint="eastAsia"/>
        </w:rPr>
        <w:t>ą</w:t>
      </w:r>
      <w:r w:rsidRPr="009D43EE">
        <w:t xml:space="preserve">du, interpretacji art. 1a ust. 1 pkt 2 </w:t>
      </w:r>
      <w:proofErr w:type="spellStart"/>
      <w:r w:rsidRPr="009D43EE">
        <w:t>u.p.o.l</w:t>
      </w:r>
      <w:proofErr w:type="spellEnd"/>
      <w:r w:rsidRPr="009D43EE">
        <w:t xml:space="preserve">. w zw. z art. 3 pkt 3 </w:t>
      </w:r>
      <w:proofErr w:type="spellStart"/>
      <w:r w:rsidRPr="009D43EE">
        <w:t>u.p.b</w:t>
      </w:r>
      <w:proofErr w:type="spellEnd"/>
      <w:r w:rsidRPr="009D43EE">
        <w:t>. nale</w:t>
      </w:r>
      <w:r w:rsidRPr="009D43EE">
        <w:rPr>
          <w:rFonts w:hint="eastAsia"/>
        </w:rPr>
        <w:t>ż</w:t>
      </w:r>
      <w:r w:rsidRPr="009D43EE">
        <w:t>y dokona</w:t>
      </w:r>
      <w:r w:rsidRPr="009D43EE">
        <w:rPr>
          <w:rFonts w:hint="eastAsia"/>
        </w:rPr>
        <w:t>ć</w:t>
      </w:r>
      <w:r w:rsidRPr="009D43EE">
        <w:t xml:space="preserve"> tak</w:t>
      </w:r>
      <w:r w:rsidRPr="009D43EE">
        <w:rPr>
          <w:rFonts w:hint="eastAsia"/>
        </w:rPr>
        <w:t>ż</w:t>
      </w:r>
      <w:r w:rsidRPr="009D43EE">
        <w:t>e z uwzgl</w:t>
      </w:r>
      <w:r w:rsidRPr="009D43EE">
        <w:rPr>
          <w:rFonts w:hint="eastAsia"/>
        </w:rPr>
        <w:t>ę</w:t>
      </w:r>
      <w:r w:rsidRPr="009D43EE">
        <w:t>dnieniem stanowiska jakie zaprezentowa</w:t>
      </w:r>
      <w:r w:rsidRPr="009D43EE">
        <w:rPr>
          <w:rFonts w:hint="eastAsia"/>
        </w:rPr>
        <w:t>ł</w:t>
      </w:r>
      <w:r w:rsidRPr="009D43EE">
        <w:t xml:space="preserve"> Trybuna</w:t>
      </w:r>
      <w:r w:rsidRPr="009D43EE">
        <w:rPr>
          <w:rFonts w:hint="eastAsia"/>
        </w:rPr>
        <w:t>ł</w:t>
      </w:r>
      <w:r w:rsidRPr="009D43EE">
        <w:t xml:space="preserve"> Konstytucyjny w wyroku z dnia 13 wrze</w:t>
      </w:r>
      <w:r w:rsidRPr="009D43EE">
        <w:rPr>
          <w:rFonts w:hint="eastAsia"/>
        </w:rPr>
        <w:t>ś</w:t>
      </w:r>
      <w:r w:rsidRPr="009D43EE">
        <w:t>nia 2011 r. (P-33/09, dost</w:t>
      </w:r>
      <w:r w:rsidRPr="009D43EE">
        <w:rPr>
          <w:rFonts w:hint="eastAsia"/>
        </w:rPr>
        <w:t>ę</w:t>
      </w:r>
      <w:r w:rsidRPr="009D43EE">
        <w:t xml:space="preserve">pne na stronie internetowej: www.trybunal.gov.pl), w </w:t>
      </w:r>
      <w:r w:rsidRPr="009D43EE">
        <w:rPr>
          <w:rFonts w:hint="eastAsia"/>
        </w:rPr>
        <w:t>ś</w:t>
      </w:r>
      <w:r w:rsidRPr="009D43EE">
        <w:t xml:space="preserve">wietle którego za budowle w rozumieniu art. 1a ust. 1 pkt 2 </w:t>
      </w:r>
      <w:proofErr w:type="spellStart"/>
      <w:r w:rsidRPr="009D43EE">
        <w:t>u.p.o.l</w:t>
      </w:r>
      <w:proofErr w:type="spellEnd"/>
      <w:r w:rsidRPr="009D43EE">
        <w:t>. mog</w:t>
      </w:r>
      <w:r w:rsidRPr="009D43EE">
        <w:rPr>
          <w:rFonts w:hint="eastAsia"/>
        </w:rPr>
        <w:t>ą</w:t>
      </w:r>
      <w:r w:rsidRPr="009D43EE">
        <w:t xml:space="preserve"> zosta</w:t>
      </w:r>
      <w:r w:rsidRPr="009D43EE">
        <w:rPr>
          <w:rFonts w:hint="eastAsia"/>
        </w:rPr>
        <w:t>ć</w:t>
      </w:r>
      <w:r w:rsidRPr="009D43EE">
        <w:t xml:space="preserve"> uznane jedynie budowle wymienione expressis verbis w art. 3 pkt 3 </w:t>
      </w:r>
      <w:proofErr w:type="spellStart"/>
      <w:r w:rsidRPr="009D43EE">
        <w:t>u.p.b</w:t>
      </w:r>
      <w:proofErr w:type="spellEnd"/>
      <w:r w:rsidRPr="009D43EE">
        <w:t>., w innych przepisach tej ustawy lub za</w:t>
      </w:r>
      <w:r w:rsidRPr="009D43EE">
        <w:rPr>
          <w:rFonts w:hint="eastAsia"/>
        </w:rPr>
        <w:t>łą</w:t>
      </w:r>
      <w:r w:rsidRPr="009D43EE">
        <w:t>czniku do niej, b</w:t>
      </w:r>
      <w:r w:rsidRPr="009D43EE">
        <w:rPr>
          <w:rFonts w:hint="eastAsia"/>
        </w:rPr>
        <w:t>ę</w:t>
      </w:r>
      <w:r w:rsidRPr="009D43EE">
        <w:t>d</w:t>
      </w:r>
      <w:r w:rsidRPr="009D43EE">
        <w:rPr>
          <w:rFonts w:hint="eastAsia"/>
        </w:rPr>
        <w:t>ą</w:t>
      </w:r>
      <w:r w:rsidRPr="009D43EE">
        <w:t>ce wraz z instalacjami i urz</w:t>
      </w:r>
      <w:r w:rsidRPr="009D43EE">
        <w:rPr>
          <w:rFonts w:hint="eastAsia"/>
        </w:rPr>
        <w:t>ą</w:t>
      </w:r>
      <w:r w:rsidRPr="009D43EE">
        <w:t xml:space="preserve">dzeniami obiektem budowlanym, o którym mowa w art. 3 pkt 1 lit. b </w:t>
      </w:r>
      <w:proofErr w:type="spellStart"/>
      <w:r w:rsidRPr="009D43EE">
        <w:t>u.p.b</w:t>
      </w:r>
      <w:proofErr w:type="spellEnd"/>
      <w:r w:rsidRPr="009D43EE">
        <w:t xml:space="preserve">., czyli pod warunkiem, </w:t>
      </w:r>
      <w:r w:rsidRPr="009D43EE">
        <w:rPr>
          <w:rFonts w:hint="eastAsia"/>
        </w:rPr>
        <w:t>ż</w:t>
      </w:r>
      <w:r w:rsidRPr="009D43EE">
        <w:t>e stanowi</w:t>
      </w:r>
      <w:r w:rsidRPr="009D43EE">
        <w:rPr>
          <w:rFonts w:hint="eastAsia"/>
        </w:rPr>
        <w:t>ą</w:t>
      </w:r>
      <w:r w:rsidRPr="009D43EE">
        <w:t xml:space="preserve"> one ca</w:t>
      </w:r>
      <w:r w:rsidRPr="009D43EE">
        <w:rPr>
          <w:rFonts w:hint="eastAsia"/>
        </w:rPr>
        <w:t>ł</w:t>
      </w:r>
      <w:r w:rsidRPr="009D43EE">
        <w:t>o</w:t>
      </w:r>
      <w:r w:rsidRPr="009D43EE">
        <w:rPr>
          <w:rFonts w:hint="eastAsia"/>
        </w:rPr>
        <w:t>ść</w:t>
      </w:r>
      <w:r w:rsidRPr="009D43EE">
        <w:t xml:space="preserve"> techniczno-u</w:t>
      </w:r>
      <w:r w:rsidRPr="009D43EE">
        <w:rPr>
          <w:rFonts w:hint="eastAsia"/>
        </w:rPr>
        <w:t>ż</w:t>
      </w:r>
      <w:r w:rsidRPr="009D43EE">
        <w:t>ytkow</w:t>
      </w:r>
      <w:r w:rsidRPr="009D43EE">
        <w:rPr>
          <w:rFonts w:hint="eastAsia"/>
        </w:rPr>
        <w:t>ą</w:t>
      </w:r>
      <w:r w:rsidRPr="009D43EE">
        <w:t xml:space="preserve"> oraz jedynie urz</w:t>
      </w:r>
      <w:r w:rsidRPr="009D43EE">
        <w:rPr>
          <w:rFonts w:hint="eastAsia"/>
        </w:rPr>
        <w:t>ą</w:t>
      </w:r>
      <w:r w:rsidRPr="009D43EE">
        <w:t xml:space="preserve">dzenia techniczne scharakteryzowane w art. 3 pkt 9 </w:t>
      </w:r>
      <w:proofErr w:type="spellStart"/>
      <w:r w:rsidRPr="009D43EE">
        <w:t>u.p.b</w:t>
      </w:r>
      <w:proofErr w:type="spellEnd"/>
      <w:r w:rsidRPr="009D43EE">
        <w:t xml:space="preserve">. lub w innych przepisach tej ustawy albo </w:t>
      </w:r>
      <w:r w:rsidRPr="009D43EE">
        <w:lastRenderedPageBreak/>
        <w:t>w za</w:t>
      </w:r>
      <w:r w:rsidRPr="009D43EE">
        <w:rPr>
          <w:rFonts w:hint="eastAsia"/>
        </w:rPr>
        <w:t>łą</w:t>
      </w:r>
      <w:r w:rsidRPr="009D43EE">
        <w:t>czniku do niej. Inaczej mówi</w:t>
      </w:r>
      <w:r w:rsidRPr="009D43EE">
        <w:rPr>
          <w:rFonts w:hint="eastAsia"/>
        </w:rPr>
        <w:t>ą</w:t>
      </w:r>
      <w:r w:rsidRPr="009D43EE">
        <w:t>c, jak wskaza</w:t>
      </w:r>
      <w:r w:rsidRPr="009D43EE">
        <w:rPr>
          <w:rFonts w:hint="eastAsia"/>
        </w:rPr>
        <w:t>ł</w:t>
      </w:r>
      <w:r w:rsidRPr="009D43EE">
        <w:t xml:space="preserve"> Trybuna</w:t>
      </w:r>
      <w:r w:rsidRPr="009D43EE">
        <w:rPr>
          <w:rFonts w:hint="eastAsia"/>
        </w:rPr>
        <w:t>ł</w:t>
      </w:r>
      <w:r w:rsidRPr="009D43EE">
        <w:t xml:space="preserve">, katalog budowli wymienionych w art. 3 pkt 3 </w:t>
      </w:r>
      <w:proofErr w:type="spellStart"/>
      <w:r w:rsidRPr="009D43EE">
        <w:t>u.p.b</w:t>
      </w:r>
      <w:proofErr w:type="spellEnd"/>
      <w:r w:rsidRPr="009D43EE">
        <w:t>. ma charakter otwarty (przyk</w:t>
      </w:r>
      <w:r w:rsidRPr="009D43EE">
        <w:rPr>
          <w:rFonts w:hint="eastAsia"/>
        </w:rPr>
        <w:t>ł</w:t>
      </w:r>
      <w:r w:rsidRPr="009D43EE">
        <w:t>adowy) dla ustalenia znaczenia tego poj</w:t>
      </w:r>
      <w:r w:rsidRPr="009D43EE">
        <w:rPr>
          <w:rFonts w:hint="eastAsia"/>
        </w:rPr>
        <w:t>ę</w:t>
      </w:r>
      <w:r w:rsidRPr="009D43EE">
        <w:t>cia na gruncie prawa budowlanego. W kontek</w:t>
      </w:r>
      <w:r w:rsidRPr="009D43EE">
        <w:rPr>
          <w:rFonts w:hint="eastAsia"/>
        </w:rPr>
        <w:t>ś</w:t>
      </w:r>
      <w:r w:rsidRPr="009D43EE">
        <w:t>cie jednak</w:t>
      </w:r>
      <w:r w:rsidRPr="009D43EE">
        <w:rPr>
          <w:rFonts w:hint="eastAsia"/>
        </w:rPr>
        <w:t>ż</w:t>
      </w:r>
      <w:r w:rsidRPr="009D43EE">
        <w:t>e standardów konstytucyjnych, dotycz</w:t>
      </w:r>
      <w:r w:rsidRPr="009D43EE">
        <w:rPr>
          <w:rFonts w:hint="eastAsia"/>
        </w:rPr>
        <w:t>ą</w:t>
      </w:r>
      <w:r w:rsidRPr="009D43EE">
        <w:t>cych ustawowego wymogu ustawowego sprecyzowania elementów konstrukcyjnych podatku (art. 217 Konstytucji RP), wykazowi temu dla celów zdefiniowania poj</w:t>
      </w:r>
      <w:r w:rsidRPr="009D43EE">
        <w:rPr>
          <w:rFonts w:hint="eastAsia"/>
        </w:rPr>
        <w:t>ę</w:t>
      </w:r>
      <w:r w:rsidRPr="009D43EE">
        <w:t xml:space="preserve">cia budowli w rozumieniu art. 1a ust. 1 pkt 2 </w:t>
      </w:r>
      <w:proofErr w:type="spellStart"/>
      <w:r w:rsidRPr="009D43EE">
        <w:t>u.p.o.l</w:t>
      </w:r>
      <w:proofErr w:type="spellEnd"/>
      <w:r w:rsidRPr="009D43EE">
        <w:t>. nale</w:t>
      </w:r>
      <w:r w:rsidRPr="009D43EE">
        <w:rPr>
          <w:rFonts w:hint="eastAsia"/>
        </w:rPr>
        <w:t>ż</w:t>
      </w:r>
      <w:r w:rsidRPr="009D43EE">
        <w:t>y przyda</w:t>
      </w:r>
      <w:r w:rsidRPr="009D43EE">
        <w:rPr>
          <w:rFonts w:hint="eastAsia"/>
        </w:rPr>
        <w:t>ć</w:t>
      </w:r>
      <w:r w:rsidRPr="009D43EE">
        <w:t xml:space="preserve"> cechy numerus clausus.”.</w:t>
      </w:r>
    </w:p>
    <w:p w:rsidR="00217D50" w:rsidRPr="009D43EE" w:rsidRDefault="00217D50" w:rsidP="003C6BF2">
      <w:r w:rsidRPr="009D43EE">
        <w:t>Naczelny S</w:t>
      </w:r>
      <w:r w:rsidRPr="009D43EE">
        <w:rPr>
          <w:rFonts w:hint="eastAsia"/>
        </w:rPr>
        <w:t>ą</w:t>
      </w:r>
      <w:r w:rsidRPr="009D43EE">
        <w:t>d Administracyjny w wyroku z dnia 8 sierpnia 2019 r., sygn. akt II FSK 2822/17 (CBOSA), uznał, że</w:t>
      </w:r>
      <w:r w:rsidR="003C6BF2">
        <w:t> </w:t>
      </w:r>
      <w:r w:rsidRPr="009D43EE">
        <w:t xml:space="preserve"> kontenery mobilne nie są przedmiotem opodatkowania podatkiem od nieruchomo</w:t>
      </w:r>
      <w:r w:rsidRPr="009D43EE">
        <w:rPr>
          <w:rFonts w:hint="eastAsia"/>
        </w:rPr>
        <w:t>ś</w:t>
      </w:r>
      <w:r w:rsidRPr="009D43EE">
        <w:t>ci uzasadniaj</w:t>
      </w:r>
      <w:r w:rsidRPr="009D43EE">
        <w:rPr>
          <w:rFonts w:hint="eastAsia"/>
        </w:rPr>
        <w:t>ą</w:t>
      </w:r>
      <w:r>
        <w:t>c, „</w:t>
      </w:r>
      <w:r w:rsidRPr="009D43EE">
        <w:rPr>
          <w:rFonts w:hint="eastAsia"/>
        </w:rPr>
        <w:t>ż</w:t>
      </w:r>
      <w:r w:rsidRPr="009D43EE">
        <w:t>e</w:t>
      </w:r>
      <w:r w:rsidR="003C6BF2">
        <w:t> </w:t>
      </w:r>
      <w:r w:rsidRPr="009D43EE">
        <w:t>tymczasowy obiekt budowlany, o którym mowa w art. 3 pkt 5 Prawa budowlanego móg</w:t>
      </w:r>
      <w:r w:rsidRPr="009D43EE">
        <w:rPr>
          <w:rFonts w:hint="eastAsia"/>
        </w:rPr>
        <w:t>ł</w:t>
      </w:r>
      <w:r w:rsidRPr="009D43EE">
        <w:t>by podlega</w:t>
      </w:r>
      <w:r w:rsidRPr="009D43EE">
        <w:rPr>
          <w:rFonts w:hint="eastAsia"/>
        </w:rPr>
        <w:t>ć</w:t>
      </w:r>
      <w:r w:rsidRPr="009D43EE">
        <w:t xml:space="preserve"> opodatkowaniu jako budowla w rozumieniu art. 1a ust. 1 pkt 2 </w:t>
      </w:r>
      <w:proofErr w:type="spellStart"/>
      <w:r w:rsidRPr="009D43EE">
        <w:t>u.p.o.l</w:t>
      </w:r>
      <w:proofErr w:type="spellEnd"/>
      <w:r w:rsidRPr="009D43EE">
        <w:t>. gdyby by</w:t>
      </w:r>
      <w:r w:rsidRPr="009D43EE">
        <w:rPr>
          <w:rFonts w:hint="eastAsia"/>
        </w:rPr>
        <w:t>ł</w:t>
      </w:r>
      <w:r w:rsidRPr="009D43EE">
        <w:t xml:space="preserve"> budowl</w:t>
      </w:r>
      <w:r w:rsidRPr="009D43EE">
        <w:rPr>
          <w:rFonts w:hint="eastAsia"/>
        </w:rPr>
        <w:t>ą</w:t>
      </w:r>
      <w:r w:rsidRPr="009D43EE">
        <w:t xml:space="preserve"> wprost wymienion</w:t>
      </w:r>
      <w:r w:rsidRPr="009D43EE">
        <w:rPr>
          <w:rFonts w:hint="eastAsia"/>
        </w:rPr>
        <w:t>ą</w:t>
      </w:r>
      <w:r w:rsidRPr="009D43EE">
        <w:t xml:space="preserve"> w art. 3 pkt 3 Prawa budowlanego lub w innych przepisach tej ustawy oraz za</w:t>
      </w:r>
      <w:r w:rsidRPr="009D43EE">
        <w:rPr>
          <w:rFonts w:hint="eastAsia"/>
        </w:rPr>
        <w:t>łą</w:t>
      </w:r>
      <w:r w:rsidRPr="009D43EE">
        <w:t>czniku do niej.”.</w:t>
      </w:r>
    </w:p>
    <w:p w:rsidR="00217D50" w:rsidRPr="009D43EE" w:rsidRDefault="00217D50" w:rsidP="003C6BF2">
      <w:r w:rsidRPr="009D43EE">
        <w:t xml:space="preserve">W </w:t>
      </w:r>
      <w:r w:rsidRPr="009D43EE">
        <w:rPr>
          <w:rFonts w:hint="eastAsia"/>
        </w:rPr>
        <w:t>ś</w:t>
      </w:r>
      <w:r w:rsidRPr="009D43EE">
        <w:t>wietle powy</w:t>
      </w:r>
      <w:r w:rsidRPr="009D43EE">
        <w:rPr>
          <w:rFonts w:hint="eastAsia"/>
        </w:rPr>
        <w:t>ż</w:t>
      </w:r>
      <w:r w:rsidRPr="009D43EE">
        <w:t>szego nie mo</w:t>
      </w:r>
      <w:r w:rsidRPr="009D43EE">
        <w:rPr>
          <w:rFonts w:hint="eastAsia"/>
        </w:rPr>
        <w:t>ż</w:t>
      </w:r>
      <w:r w:rsidRPr="009D43EE">
        <w:t>na uzna</w:t>
      </w:r>
      <w:r w:rsidRPr="009D43EE">
        <w:rPr>
          <w:rFonts w:hint="eastAsia"/>
        </w:rPr>
        <w:t>ć</w:t>
      </w:r>
      <w:r w:rsidRPr="009D43EE">
        <w:t xml:space="preserve"> kontenerów opisanych w stanie faktycznym wniosku za budowle w</w:t>
      </w:r>
      <w:r w:rsidR="003C6BF2">
        <w:t> </w:t>
      </w:r>
      <w:r w:rsidRPr="009D43EE">
        <w:t xml:space="preserve">rozumieniu </w:t>
      </w:r>
      <w:proofErr w:type="spellStart"/>
      <w:r w:rsidRPr="009D43EE">
        <w:t>upol</w:t>
      </w:r>
      <w:proofErr w:type="spellEnd"/>
      <w:r w:rsidRPr="009D43EE">
        <w:t>.</w:t>
      </w:r>
    </w:p>
    <w:p w:rsidR="00217D50" w:rsidRPr="009D43EE" w:rsidRDefault="00217D50" w:rsidP="003C6BF2">
      <w:r w:rsidRPr="009D43EE">
        <w:t>Obiekty kontenerowe wymienione zosta</w:t>
      </w:r>
      <w:r w:rsidRPr="009D43EE">
        <w:rPr>
          <w:rFonts w:hint="eastAsia"/>
        </w:rPr>
        <w:t>ł</w:t>
      </w:r>
      <w:r w:rsidRPr="009D43EE">
        <w:t>y wprawdzie w Prawie budowlanym jako tymczasowe obiekty budowalne, ale nie zosta</w:t>
      </w:r>
      <w:r w:rsidRPr="009D43EE">
        <w:rPr>
          <w:rFonts w:hint="eastAsia"/>
        </w:rPr>
        <w:t>ł</w:t>
      </w:r>
      <w:r w:rsidRPr="009D43EE">
        <w:t>y wymienione jako budowle w art. 3 pkt 3 Prawa budowlanego, w innych przepisach tej ustawy lub w za</w:t>
      </w:r>
      <w:r w:rsidRPr="009D43EE">
        <w:rPr>
          <w:rFonts w:hint="eastAsia"/>
        </w:rPr>
        <w:t>łą</w:t>
      </w:r>
      <w:r w:rsidRPr="009D43EE">
        <w:t>czniku do niej.</w:t>
      </w:r>
    </w:p>
    <w:p w:rsidR="00217D50" w:rsidRPr="009D43EE" w:rsidRDefault="00217D50" w:rsidP="003C6BF2">
      <w:r w:rsidRPr="009D43EE">
        <w:t>Ta okoliczno</w:t>
      </w:r>
      <w:r w:rsidRPr="009D43EE">
        <w:rPr>
          <w:rFonts w:hint="eastAsia"/>
        </w:rPr>
        <w:t>ść</w:t>
      </w:r>
      <w:r w:rsidRPr="009D43EE">
        <w:t xml:space="preserve"> powoduje, </w:t>
      </w:r>
      <w:r w:rsidRPr="009D43EE">
        <w:rPr>
          <w:rFonts w:hint="eastAsia"/>
        </w:rPr>
        <w:t>ż</w:t>
      </w:r>
      <w:r w:rsidRPr="009D43EE">
        <w:t>e kontenery opisane w stanie faktycznym wniosku nie mog</w:t>
      </w:r>
      <w:r w:rsidRPr="009D43EE">
        <w:rPr>
          <w:rFonts w:hint="eastAsia"/>
        </w:rPr>
        <w:t>ą</w:t>
      </w:r>
      <w:r w:rsidRPr="009D43EE">
        <w:t xml:space="preserve"> zosta</w:t>
      </w:r>
      <w:r w:rsidRPr="009D43EE">
        <w:rPr>
          <w:rFonts w:hint="eastAsia"/>
        </w:rPr>
        <w:t>ć</w:t>
      </w:r>
      <w:r w:rsidRPr="009D43EE">
        <w:t xml:space="preserve"> uznane za budowle w rozumieniu art. 1a pkt 2 </w:t>
      </w:r>
      <w:proofErr w:type="spellStart"/>
      <w:r w:rsidRPr="009D43EE">
        <w:t>upol</w:t>
      </w:r>
      <w:proofErr w:type="spellEnd"/>
      <w:r w:rsidRPr="009D43EE">
        <w:t>. Oznacza to, i</w:t>
      </w:r>
      <w:r w:rsidRPr="009D43EE">
        <w:rPr>
          <w:rFonts w:hint="eastAsia"/>
        </w:rPr>
        <w:t>ż</w:t>
      </w:r>
      <w:r w:rsidRPr="009D43EE">
        <w:t xml:space="preserve"> nie podlegaj</w:t>
      </w:r>
      <w:r w:rsidRPr="009D43EE">
        <w:rPr>
          <w:rFonts w:hint="eastAsia"/>
        </w:rPr>
        <w:t>ą</w:t>
      </w:r>
      <w:r w:rsidRPr="009D43EE">
        <w:t xml:space="preserve"> one opodatkowaniu podatkiem od nieruchomo</w:t>
      </w:r>
      <w:r w:rsidRPr="009D43EE">
        <w:rPr>
          <w:rFonts w:hint="eastAsia"/>
        </w:rPr>
        <w:t>ś</w:t>
      </w:r>
      <w:r w:rsidRPr="009D43EE">
        <w:t>ci.</w:t>
      </w:r>
    </w:p>
    <w:p w:rsidR="00217D50" w:rsidRPr="009D43EE" w:rsidRDefault="00217D50" w:rsidP="003C6BF2">
      <w:r w:rsidRPr="009D43EE">
        <w:t>Tym samym uzna</w:t>
      </w:r>
      <w:r w:rsidRPr="009D43EE">
        <w:rPr>
          <w:rFonts w:hint="eastAsia"/>
        </w:rPr>
        <w:t>ć</w:t>
      </w:r>
      <w:r w:rsidRPr="009D43EE">
        <w:t xml:space="preserve"> nale</w:t>
      </w:r>
      <w:r w:rsidRPr="009D43EE">
        <w:rPr>
          <w:rFonts w:hint="eastAsia"/>
        </w:rPr>
        <w:t>ż</w:t>
      </w:r>
      <w:r w:rsidRPr="009D43EE">
        <w:t>y, i</w:t>
      </w:r>
      <w:r w:rsidRPr="009D43EE">
        <w:rPr>
          <w:rFonts w:hint="eastAsia"/>
        </w:rPr>
        <w:t>ż</w:t>
      </w:r>
      <w:r w:rsidRPr="009D43EE">
        <w:t xml:space="preserve"> stanowisko Wnioskodawcy, zaprezentowane we wniosku, jest prawid</w:t>
      </w:r>
      <w:r w:rsidRPr="009D43EE">
        <w:rPr>
          <w:rFonts w:hint="eastAsia"/>
        </w:rPr>
        <w:t>ł</w:t>
      </w:r>
      <w:r w:rsidRPr="009D43EE">
        <w:t>owe w</w:t>
      </w:r>
      <w:r w:rsidR="003C6BF2">
        <w:t> </w:t>
      </w:r>
      <w:r w:rsidRPr="009D43EE">
        <w:t>obowi</w:t>
      </w:r>
      <w:r w:rsidRPr="009D43EE">
        <w:rPr>
          <w:rFonts w:hint="eastAsia"/>
        </w:rPr>
        <w:t>ą</w:t>
      </w:r>
      <w:r w:rsidRPr="009D43EE">
        <w:t>zuj</w:t>
      </w:r>
      <w:r w:rsidRPr="009D43EE">
        <w:rPr>
          <w:rFonts w:hint="eastAsia"/>
        </w:rPr>
        <w:t>ą</w:t>
      </w:r>
      <w:r w:rsidRPr="009D43EE">
        <w:t>cym stanie prawnym.</w:t>
      </w:r>
    </w:p>
    <w:p w:rsidR="00217D50" w:rsidRPr="0074545E" w:rsidRDefault="00217D50" w:rsidP="0074545E">
      <w:pPr>
        <w:pStyle w:val="Nagwek2"/>
        <w:numPr>
          <w:ilvl w:val="0"/>
          <w:numId w:val="2"/>
        </w:numPr>
      </w:pPr>
      <w:r w:rsidRPr="0074545E">
        <w:t>Pouczenie</w:t>
      </w:r>
    </w:p>
    <w:p w:rsidR="00217D50" w:rsidRDefault="00217D50" w:rsidP="003C6BF2">
      <w:pPr>
        <w:rPr>
          <w:b/>
        </w:rPr>
      </w:pPr>
      <w:r w:rsidRPr="00217D50">
        <w:t xml:space="preserve">Wnioskodawcy przysługuje prawo do wniesienia skargi na niniejszą interpretację przepisów prawa podatkowego. Skargę wnosi się do Wojewódzkiego Sądu Administracyjnego w Warszawie w terminie 30 dni od dnia doręczenia Spółce interpretacji przepisów prawa podatkowego (art. 53 § 1 ustawy z dnia 30 sierpnia 2002 r. – Prawa o postępowaniu przed sądami administracyjnymi – Dz. U. z 2018 r. poz. 1302, z </w:t>
      </w:r>
      <w:proofErr w:type="spellStart"/>
      <w:r w:rsidRPr="00217D50">
        <w:t>późn</w:t>
      </w:r>
      <w:proofErr w:type="spellEnd"/>
      <w:r w:rsidRPr="00217D50">
        <w:t>. zm.). Skargę wnosi się za pośrednictwem Prezydenta m.st. Warszawy – Centrum Obsługi Podatnika Urzędu m.st. Warszawy, ul. Obozowa 57, 01-161 Warszawa.</w:t>
      </w:r>
    </w:p>
    <w:p w:rsidR="00217D50" w:rsidRDefault="00217D50" w:rsidP="00902878">
      <w:pPr>
        <w:ind w:left="6096"/>
        <w:contextualSpacing/>
      </w:pPr>
      <w:r>
        <w:t>Z up. PREZYDENTA M.ST. WARSZAWY</w:t>
      </w:r>
    </w:p>
    <w:p w:rsidR="00902878" w:rsidRDefault="00902878" w:rsidP="00902878">
      <w:pPr>
        <w:ind w:left="7797"/>
        <w:contextualSpacing/>
        <w:rPr>
          <w:b/>
        </w:rPr>
      </w:pPr>
      <w:r>
        <w:t>/-/</w:t>
      </w:r>
    </w:p>
    <w:p w:rsidR="00217D50" w:rsidRDefault="00217D50" w:rsidP="00902878">
      <w:pPr>
        <w:ind w:left="6804"/>
        <w:contextualSpacing/>
        <w:rPr>
          <w:b/>
        </w:rPr>
      </w:pPr>
      <w:r>
        <w:t>Róża Joanna Gutkowska</w:t>
      </w:r>
    </w:p>
    <w:p w:rsidR="00217D50" w:rsidRDefault="00217D50" w:rsidP="00902878">
      <w:pPr>
        <w:ind w:left="7088"/>
        <w:contextualSpacing/>
        <w:rPr>
          <w:b/>
        </w:rPr>
      </w:pPr>
      <w:r>
        <w:t>Zastępca Skarbnika</w:t>
      </w:r>
    </w:p>
    <w:p w:rsidR="00217D50" w:rsidRPr="00217D50" w:rsidRDefault="00217D50" w:rsidP="00902878">
      <w:pPr>
        <w:ind w:left="7230"/>
        <w:contextualSpacing/>
      </w:pPr>
      <w:r>
        <w:t>m.st. Warszawy</w:t>
      </w:r>
    </w:p>
    <w:sectPr w:rsidR="00217D50" w:rsidRPr="00217D50" w:rsidSect="00217D50">
      <w:footerReference w:type="default" r:id="rId7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2AB" w:rsidRDefault="00FE32AB" w:rsidP="00217D50">
      <w:pPr>
        <w:spacing w:after="0" w:line="240" w:lineRule="auto"/>
      </w:pPr>
      <w:r>
        <w:separator/>
      </w:r>
    </w:p>
  </w:endnote>
  <w:endnote w:type="continuationSeparator" w:id="0">
    <w:p w:rsidR="00FE32AB" w:rsidRDefault="00FE32AB" w:rsidP="00217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D50" w:rsidRDefault="00217D50" w:rsidP="003C6BF2">
    <w:pPr>
      <w:jc w:val="right"/>
    </w:pPr>
    <w:r w:rsidRPr="001B4CA9">
      <w:t xml:space="preserve">Strona </w:t>
    </w:r>
    <w:r w:rsidRPr="001B4CA9">
      <w:fldChar w:fldCharType="begin"/>
    </w:r>
    <w:r w:rsidRPr="001B4CA9">
      <w:instrText xml:space="preserve"> PAGE </w:instrText>
    </w:r>
    <w:r w:rsidRPr="001B4CA9">
      <w:fldChar w:fldCharType="separate"/>
    </w:r>
    <w:r w:rsidR="00296712">
      <w:rPr>
        <w:noProof/>
      </w:rPr>
      <w:t>1</w:t>
    </w:r>
    <w:r w:rsidRPr="001B4CA9">
      <w:fldChar w:fldCharType="end"/>
    </w:r>
    <w:r w:rsidRPr="001B4CA9">
      <w:t xml:space="preserve"> z </w:t>
    </w:r>
    <w:fldSimple w:instr=" NUMPAGES ">
      <w:r w:rsidR="00296712">
        <w:rPr>
          <w:noProof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2AB" w:rsidRDefault="00FE32AB" w:rsidP="00217D50">
      <w:pPr>
        <w:spacing w:after="0" w:line="240" w:lineRule="auto"/>
      </w:pPr>
      <w:r>
        <w:separator/>
      </w:r>
    </w:p>
  </w:footnote>
  <w:footnote w:type="continuationSeparator" w:id="0">
    <w:p w:rsidR="00FE32AB" w:rsidRDefault="00FE32AB" w:rsidP="00217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3772A"/>
    <w:multiLevelType w:val="hybridMultilevel"/>
    <w:tmpl w:val="68421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92F63"/>
    <w:multiLevelType w:val="hybridMultilevel"/>
    <w:tmpl w:val="9E9A1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50"/>
    <w:rsid w:val="00074241"/>
    <w:rsid w:val="00195F74"/>
    <w:rsid w:val="00217D50"/>
    <w:rsid w:val="00296712"/>
    <w:rsid w:val="003C6BF2"/>
    <w:rsid w:val="00592616"/>
    <w:rsid w:val="006C63D8"/>
    <w:rsid w:val="0074545E"/>
    <w:rsid w:val="00902878"/>
    <w:rsid w:val="00A03367"/>
    <w:rsid w:val="00BF6035"/>
    <w:rsid w:val="00C9118B"/>
    <w:rsid w:val="00ED6987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4D968"/>
  <w15:chartTrackingRefBased/>
  <w15:docId w15:val="{922270A5-541C-4E7E-870E-18FC59BA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545E"/>
    <w:pPr>
      <w:spacing w:after="240" w:line="300" w:lineRule="auto"/>
    </w:pPr>
    <w:rPr>
      <w:rFonts w:ascii="Calibri" w:hAnsi="Calibri"/>
    </w:rPr>
  </w:style>
  <w:style w:type="paragraph" w:styleId="Nagwek1">
    <w:name w:val="heading 1"/>
    <w:basedOn w:val="Normalny"/>
    <w:link w:val="Nagwek1Znak"/>
    <w:qFormat/>
    <w:rsid w:val="0074545E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eastAsia="Times New Roman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4545E"/>
    <w:pPr>
      <w:keepNext/>
      <w:keepLines/>
      <w:outlineLvl w:val="1"/>
    </w:pPr>
    <w:rPr>
      <w:rFonts w:eastAsiaTheme="majorEastAsia" w:cstheme="majorBidi"/>
      <w:b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545E"/>
    <w:rPr>
      <w:rFonts w:ascii="Calibri" w:eastAsia="Times New Roman" w:hAnsi="Calibri" w:cs="Times New Roman"/>
      <w:b/>
      <w:sz w:val="28"/>
      <w:szCs w:val="20"/>
      <w:lang w:eastAsia="pl-PL"/>
    </w:rPr>
  </w:style>
  <w:style w:type="character" w:customStyle="1" w:styleId="highlight1">
    <w:name w:val="highlight1"/>
    <w:rsid w:val="00217D5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1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7D50"/>
  </w:style>
  <w:style w:type="paragraph" w:styleId="Stopka">
    <w:name w:val="footer"/>
    <w:basedOn w:val="Normalny"/>
    <w:link w:val="StopkaZnak"/>
    <w:unhideWhenUsed/>
    <w:rsid w:val="00217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7D50"/>
  </w:style>
  <w:style w:type="character" w:customStyle="1" w:styleId="Nagwek2Znak">
    <w:name w:val="Nagłówek 2 Znak"/>
    <w:basedOn w:val="Domylnaczcionkaakapitu"/>
    <w:link w:val="Nagwek2"/>
    <w:uiPriority w:val="9"/>
    <w:rsid w:val="0074545E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2863</Words>
  <Characters>17180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20003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8</cp:revision>
  <cp:lastPrinted>2023-02-20T10:59:00Z</cp:lastPrinted>
  <dcterms:created xsi:type="dcterms:W3CDTF">2021-09-29T12:03:00Z</dcterms:created>
  <dcterms:modified xsi:type="dcterms:W3CDTF">2023-02-20T11:00:00Z</dcterms:modified>
</cp:coreProperties>
</file>