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C50" w:rsidRPr="003257CE" w:rsidRDefault="00EE09CC" w:rsidP="001E0135">
      <w:pPr>
        <w:jc w:val="center"/>
        <w:rPr>
          <w:rFonts w:cs="Calibri"/>
          <w:szCs w:val="22"/>
        </w:rPr>
      </w:pPr>
      <w:bookmarkStart w:id="0" w:name="_GoBack"/>
      <w:bookmarkEnd w:id="0"/>
      <w:r w:rsidRPr="003257CE">
        <w:rPr>
          <w:rFonts w:cs="Calibri"/>
          <w:noProof/>
          <w:szCs w:val="22"/>
        </w:rPr>
        <w:drawing>
          <wp:inline distT="0" distB="0" distL="0" distR="0">
            <wp:extent cx="3962400" cy="922020"/>
            <wp:effectExtent l="0" t="0" r="0" b="0"/>
            <wp:docPr id="1" name="Obraz 1" descr="Herb Warszawy i nazwa organu: Prezydent Miasta Stołecznego Warsza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rezydent_m_st_Warszawy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61FF" w:rsidRDefault="0076194D" w:rsidP="00784FD9">
      <w:pPr>
        <w:tabs>
          <w:tab w:val="left" w:pos="4320"/>
        </w:tabs>
        <w:jc w:val="right"/>
        <w:rPr>
          <w:rFonts w:cs="Calibri"/>
          <w:b/>
          <w:szCs w:val="22"/>
        </w:rPr>
      </w:pPr>
      <w:r w:rsidRPr="003257CE">
        <w:rPr>
          <w:rFonts w:cs="Calibri"/>
          <w:b/>
          <w:szCs w:val="22"/>
        </w:rPr>
        <w:t xml:space="preserve">Warszawa, </w:t>
      </w:r>
      <w:r w:rsidR="00566001">
        <w:rPr>
          <w:rFonts w:cs="Calibri"/>
          <w:b/>
          <w:szCs w:val="22"/>
        </w:rPr>
        <w:t>13.09.2022</w:t>
      </w:r>
      <w:r w:rsidR="00784FD9">
        <w:rPr>
          <w:rFonts w:cs="Calibri"/>
          <w:b/>
          <w:szCs w:val="22"/>
        </w:rPr>
        <w:t xml:space="preserve"> r.</w:t>
      </w:r>
    </w:p>
    <w:p w:rsidR="00784FD9" w:rsidRPr="003257CE" w:rsidRDefault="00784FD9" w:rsidP="00995053">
      <w:pPr>
        <w:tabs>
          <w:tab w:val="left" w:pos="4320"/>
        </w:tabs>
        <w:jc w:val="both"/>
        <w:rPr>
          <w:rFonts w:cs="Calibri"/>
          <w:b/>
          <w:szCs w:val="22"/>
        </w:rPr>
      </w:pPr>
      <w:r w:rsidRPr="003257CE">
        <w:rPr>
          <w:rFonts w:cs="Calibri"/>
          <w:b/>
          <w:szCs w:val="22"/>
        </w:rPr>
        <w:t>COP-13.310.14.2020.GWA</w:t>
      </w:r>
    </w:p>
    <w:p w:rsidR="00FA652D" w:rsidRPr="003257CE" w:rsidRDefault="00E161FF" w:rsidP="00995053">
      <w:pPr>
        <w:tabs>
          <w:tab w:val="left" w:pos="4320"/>
        </w:tabs>
        <w:jc w:val="both"/>
        <w:rPr>
          <w:rFonts w:cs="Calibri"/>
          <w:b/>
          <w:szCs w:val="22"/>
        </w:rPr>
      </w:pPr>
      <w:r w:rsidRPr="003257CE">
        <w:rPr>
          <w:rFonts w:cs="Calibri"/>
          <w:b/>
          <w:szCs w:val="22"/>
        </w:rPr>
        <w:t xml:space="preserve">COP-13/31101/ </w:t>
      </w:r>
      <w:r w:rsidR="00566001">
        <w:rPr>
          <w:rFonts w:cs="Calibri"/>
          <w:b/>
          <w:szCs w:val="22"/>
        </w:rPr>
        <w:t>7583</w:t>
      </w:r>
      <w:r w:rsidRPr="003257CE">
        <w:rPr>
          <w:rFonts w:cs="Calibri"/>
          <w:b/>
          <w:szCs w:val="22"/>
        </w:rPr>
        <w:t xml:space="preserve"> /GW/2</w:t>
      </w:r>
      <w:r w:rsidR="00555166" w:rsidRPr="003257CE">
        <w:rPr>
          <w:rFonts w:cs="Calibri"/>
          <w:b/>
          <w:szCs w:val="22"/>
        </w:rPr>
        <w:t>2</w:t>
      </w:r>
      <w:r w:rsidR="003E7A2F" w:rsidRPr="003257CE">
        <w:rPr>
          <w:rFonts w:cs="Calibri"/>
          <w:b/>
          <w:szCs w:val="22"/>
        </w:rPr>
        <w:t xml:space="preserve"> </w:t>
      </w:r>
    </w:p>
    <w:p w:rsidR="00907588" w:rsidRPr="003257CE" w:rsidRDefault="00784FD9" w:rsidP="00784FD9">
      <w:pPr>
        <w:ind w:left="5670"/>
        <w:rPr>
          <w:rFonts w:cs="Calibri"/>
          <w:szCs w:val="22"/>
        </w:rPr>
      </w:pPr>
      <w:r>
        <w:rPr>
          <w:rFonts w:cs="Calibri"/>
          <w:szCs w:val="22"/>
        </w:rPr>
        <w:t>(…)</w:t>
      </w:r>
      <w:r w:rsidR="00907588" w:rsidRPr="003257CE">
        <w:rPr>
          <w:rFonts w:cs="Calibri"/>
          <w:szCs w:val="22"/>
        </w:rPr>
        <w:t xml:space="preserve"> S.A.</w:t>
      </w:r>
    </w:p>
    <w:p w:rsidR="00907588" w:rsidRPr="003257CE" w:rsidRDefault="00907588" w:rsidP="00907588">
      <w:pPr>
        <w:ind w:left="4956" w:firstLine="708"/>
        <w:rPr>
          <w:rFonts w:cs="Calibri"/>
          <w:szCs w:val="22"/>
        </w:rPr>
      </w:pPr>
      <w:r w:rsidRPr="003257CE">
        <w:rPr>
          <w:rFonts w:cs="Calibri"/>
          <w:szCs w:val="22"/>
        </w:rPr>
        <w:t xml:space="preserve">ul. </w:t>
      </w:r>
      <w:r w:rsidR="00784FD9">
        <w:rPr>
          <w:rFonts w:cs="Calibri"/>
          <w:szCs w:val="22"/>
        </w:rPr>
        <w:t>(…)</w:t>
      </w:r>
    </w:p>
    <w:p w:rsidR="00907588" w:rsidRPr="003257CE" w:rsidRDefault="00907588" w:rsidP="00907588">
      <w:pPr>
        <w:ind w:left="4956" w:firstLine="708"/>
        <w:rPr>
          <w:rFonts w:cs="Calibri"/>
          <w:szCs w:val="22"/>
        </w:rPr>
      </w:pPr>
      <w:r w:rsidRPr="003257CE">
        <w:rPr>
          <w:rFonts w:cs="Calibri"/>
          <w:szCs w:val="22"/>
        </w:rPr>
        <w:t xml:space="preserve">NIP </w:t>
      </w:r>
      <w:r w:rsidR="00784FD9">
        <w:rPr>
          <w:rFonts w:cs="Calibri"/>
          <w:szCs w:val="22"/>
        </w:rPr>
        <w:t>(…)</w:t>
      </w:r>
    </w:p>
    <w:p w:rsidR="00907588" w:rsidRPr="003257CE" w:rsidRDefault="00907588" w:rsidP="00907588">
      <w:pPr>
        <w:ind w:left="4956" w:firstLine="708"/>
        <w:rPr>
          <w:rFonts w:cs="Calibri"/>
          <w:szCs w:val="22"/>
        </w:rPr>
      </w:pPr>
      <w:r w:rsidRPr="003257CE">
        <w:rPr>
          <w:rFonts w:cs="Calibri"/>
          <w:szCs w:val="22"/>
        </w:rPr>
        <w:t>reprezentowana przez</w:t>
      </w:r>
    </w:p>
    <w:p w:rsidR="00907588" w:rsidRPr="003257CE" w:rsidRDefault="00907588" w:rsidP="00907588">
      <w:pPr>
        <w:ind w:left="5664"/>
        <w:rPr>
          <w:rFonts w:cs="Calibri"/>
          <w:szCs w:val="22"/>
        </w:rPr>
      </w:pPr>
      <w:r w:rsidRPr="003257CE">
        <w:rPr>
          <w:rFonts w:cs="Calibri"/>
          <w:szCs w:val="22"/>
        </w:rPr>
        <w:t xml:space="preserve">Pana </w:t>
      </w:r>
      <w:r w:rsidR="00784FD9">
        <w:rPr>
          <w:rFonts w:cs="Calibri"/>
          <w:szCs w:val="22"/>
        </w:rPr>
        <w:t>(…)</w:t>
      </w:r>
    </w:p>
    <w:p w:rsidR="00907588" w:rsidRPr="003257CE" w:rsidRDefault="00907588" w:rsidP="00907588">
      <w:pPr>
        <w:ind w:left="4956" w:firstLine="708"/>
        <w:rPr>
          <w:rFonts w:cs="Calibri"/>
          <w:szCs w:val="22"/>
        </w:rPr>
      </w:pPr>
      <w:r w:rsidRPr="003257CE">
        <w:rPr>
          <w:rFonts w:cs="Calibri"/>
          <w:szCs w:val="22"/>
        </w:rPr>
        <w:t>adres do doręczeń:</w:t>
      </w:r>
    </w:p>
    <w:p w:rsidR="00907588" w:rsidRPr="003257CE" w:rsidRDefault="00784FD9" w:rsidP="00907588">
      <w:pPr>
        <w:ind w:left="4956" w:firstLine="708"/>
        <w:rPr>
          <w:rFonts w:cs="Calibri"/>
          <w:szCs w:val="22"/>
        </w:rPr>
      </w:pPr>
      <w:r>
        <w:rPr>
          <w:rFonts w:cs="Calibri"/>
          <w:szCs w:val="22"/>
        </w:rPr>
        <w:t>(…)</w:t>
      </w:r>
      <w:r w:rsidR="00907588" w:rsidRPr="003257CE">
        <w:rPr>
          <w:rFonts w:cs="Calibri"/>
          <w:szCs w:val="22"/>
        </w:rPr>
        <w:t xml:space="preserve"> Sp. z o.o.</w:t>
      </w:r>
    </w:p>
    <w:p w:rsidR="00E161FF" w:rsidRPr="003257CE" w:rsidRDefault="00907588" w:rsidP="00784FD9">
      <w:pPr>
        <w:ind w:left="4956" w:firstLine="708"/>
        <w:rPr>
          <w:rFonts w:cs="Calibri"/>
          <w:szCs w:val="22"/>
        </w:rPr>
      </w:pPr>
      <w:r w:rsidRPr="003257CE">
        <w:rPr>
          <w:rFonts w:cs="Calibri"/>
          <w:szCs w:val="22"/>
        </w:rPr>
        <w:t xml:space="preserve">Al. </w:t>
      </w:r>
      <w:r w:rsidR="00784FD9">
        <w:rPr>
          <w:rFonts w:cs="Calibri"/>
          <w:szCs w:val="22"/>
        </w:rPr>
        <w:t>(…)</w:t>
      </w:r>
    </w:p>
    <w:p w:rsidR="00384140" w:rsidRPr="003257CE" w:rsidRDefault="00384140" w:rsidP="00384140">
      <w:pPr>
        <w:rPr>
          <w:rFonts w:cs="Calibri"/>
          <w:szCs w:val="22"/>
        </w:rPr>
      </w:pPr>
      <w:r w:rsidRPr="003257CE">
        <w:rPr>
          <w:rFonts w:cs="Calibri"/>
          <w:szCs w:val="22"/>
        </w:rPr>
        <w:t xml:space="preserve">Działając na podstawie art. 14j § 1 ustawy z dnia 29 sierpnia 1997 r. - Ordynacja podatkowa (Dz. </w:t>
      </w:r>
      <w:r w:rsidR="00784FD9">
        <w:rPr>
          <w:rFonts w:cs="Calibri"/>
          <w:szCs w:val="22"/>
        </w:rPr>
        <w:t> </w:t>
      </w:r>
      <w:r w:rsidRPr="003257CE">
        <w:rPr>
          <w:rFonts w:cs="Calibri"/>
          <w:szCs w:val="22"/>
        </w:rPr>
        <w:t>U.</w:t>
      </w:r>
      <w:r w:rsidR="00784FD9">
        <w:rPr>
          <w:rFonts w:cs="Calibri"/>
          <w:szCs w:val="22"/>
        </w:rPr>
        <w:t> </w:t>
      </w:r>
      <w:r w:rsidRPr="003257CE">
        <w:rPr>
          <w:rFonts w:cs="Calibri"/>
          <w:szCs w:val="22"/>
        </w:rPr>
        <w:t xml:space="preserve"> z</w:t>
      </w:r>
      <w:r w:rsidR="00784FD9">
        <w:rPr>
          <w:rFonts w:cs="Calibri"/>
          <w:szCs w:val="22"/>
        </w:rPr>
        <w:t> </w:t>
      </w:r>
      <w:r w:rsidRPr="003257CE">
        <w:rPr>
          <w:rFonts w:cs="Calibri"/>
          <w:szCs w:val="22"/>
        </w:rPr>
        <w:t xml:space="preserve"> 2021 r. poz. 1540</w:t>
      </w:r>
      <w:r w:rsidR="00AB5475" w:rsidRPr="003257CE">
        <w:rPr>
          <w:rFonts w:cs="Calibri"/>
          <w:szCs w:val="22"/>
        </w:rPr>
        <w:t>, z późn.</w:t>
      </w:r>
      <w:r w:rsidR="00555166" w:rsidRPr="003257CE">
        <w:rPr>
          <w:rFonts w:cs="Calibri"/>
          <w:szCs w:val="22"/>
        </w:rPr>
        <w:t xml:space="preserve"> zm.</w:t>
      </w:r>
      <w:r w:rsidRPr="003257CE">
        <w:rPr>
          <w:rFonts w:cs="Calibri"/>
          <w:szCs w:val="22"/>
        </w:rPr>
        <w:t>).</w:t>
      </w:r>
    </w:p>
    <w:p w:rsidR="00384140" w:rsidRPr="003257CE" w:rsidRDefault="00384140" w:rsidP="00784FD9">
      <w:pPr>
        <w:pStyle w:val="Tekstpodstawowy"/>
        <w:jc w:val="left"/>
        <w:rPr>
          <w:rFonts w:cs="Calibri"/>
          <w:b/>
          <w:szCs w:val="22"/>
        </w:rPr>
      </w:pPr>
      <w:r w:rsidRPr="003257CE">
        <w:rPr>
          <w:rFonts w:cs="Calibri"/>
          <w:b/>
          <w:szCs w:val="22"/>
        </w:rPr>
        <w:t>po rozpatrzeniu</w:t>
      </w:r>
    </w:p>
    <w:p w:rsidR="005A63E5" w:rsidRPr="003257CE" w:rsidRDefault="005A63E5" w:rsidP="007B353E">
      <w:pPr>
        <w:pStyle w:val="Tekstpodstawowy"/>
        <w:jc w:val="left"/>
        <w:rPr>
          <w:rFonts w:cs="Calibri"/>
          <w:b/>
          <w:szCs w:val="22"/>
        </w:rPr>
      </w:pPr>
      <w:r w:rsidRPr="003257CE">
        <w:rPr>
          <w:rFonts w:cs="Calibri"/>
          <w:szCs w:val="22"/>
        </w:rPr>
        <w:t xml:space="preserve">wniosku </w:t>
      </w:r>
      <w:r w:rsidR="00784FD9">
        <w:rPr>
          <w:rFonts w:cs="Calibri"/>
          <w:szCs w:val="22"/>
        </w:rPr>
        <w:t>(…)</w:t>
      </w:r>
      <w:r w:rsidR="00907588" w:rsidRPr="003257CE">
        <w:rPr>
          <w:rFonts w:cs="Calibri"/>
          <w:szCs w:val="22"/>
        </w:rPr>
        <w:t xml:space="preserve"> S.A. </w:t>
      </w:r>
      <w:r w:rsidRPr="003257CE">
        <w:rPr>
          <w:rFonts w:cs="Calibri"/>
          <w:szCs w:val="22"/>
        </w:rPr>
        <w:t xml:space="preserve">z siedzibą w </w:t>
      </w:r>
      <w:r w:rsidR="00784FD9">
        <w:rPr>
          <w:rFonts w:cs="Calibri"/>
          <w:szCs w:val="22"/>
        </w:rPr>
        <w:t>(…)</w:t>
      </w:r>
      <w:r w:rsidRPr="003257CE">
        <w:rPr>
          <w:rFonts w:cs="Calibri"/>
          <w:szCs w:val="22"/>
        </w:rPr>
        <w:t xml:space="preserve"> przy ulicy </w:t>
      </w:r>
      <w:r w:rsidR="00784FD9">
        <w:rPr>
          <w:rFonts w:cs="Calibri"/>
          <w:szCs w:val="22"/>
        </w:rPr>
        <w:t>(…)</w:t>
      </w:r>
      <w:r w:rsidR="00907588" w:rsidRPr="003257CE">
        <w:rPr>
          <w:rFonts w:cs="Calibri"/>
          <w:szCs w:val="22"/>
        </w:rPr>
        <w:t xml:space="preserve"> </w:t>
      </w:r>
      <w:r w:rsidRPr="003257CE">
        <w:rPr>
          <w:rFonts w:cs="Calibri"/>
          <w:szCs w:val="22"/>
        </w:rPr>
        <w:t xml:space="preserve">(dalej jako „Wnioskodawca”) z dnia </w:t>
      </w:r>
      <w:r w:rsidR="00907588" w:rsidRPr="003257CE">
        <w:rPr>
          <w:rFonts w:cs="Calibri"/>
          <w:szCs w:val="22"/>
        </w:rPr>
        <w:t>7 czerwca 2022</w:t>
      </w:r>
      <w:r w:rsidRPr="003257CE">
        <w:rPr>
          <w:rFonts w:cs="Calibri"/>
          <w:szCs w:val="22"/>
        </w:rPr>
        <w:t xml:space="preserve"> r. (wpływ do organu podatkowego w dniu </w:t>
      </w:r>
      <w:r w:rsidR="00AB5475" w:rsidRPr="003257CE">
        <w:rPr>
          <w:rFonts w:cs="Calibri"/>
          <w:szCs w:val="22"/>
        </w:rPr>
        <w:t>13 czerwca 2022</w:t>
      </w:r>
      <w:r w:rsidRPr="003257CE">
        <w:rPr>
          <w:rFonts w:cs="Calibri"/>
          <w:szCs w:val="22"/>
        </w:rPr>
        <w:t xml:space="preserve"> r.) w sprawie udzielenia pisemnej interpretacji przepisów prawa podatkowego w zakresie podatku od nieruchomości</w:t>
      </w:r>
      <w:r w:rsidR="007B353E" w:rsidRPr="003257CE">
        <w:rPr>
          <w:rFonts w:cs="Calibri"/>
          <w:szCs w:val="22"/>
        </w:rPr>
        <w:t xml:space="preserve"> (dalej jako „wniosek”)</w:t>
      </w:r>
      <w:r w:rsidR="00907588" w:rsidRPr="003257CE">
        <w:rPr>
          <w:rFonts w:cs="Calibri"/>
          <w:szCs w:val="22"/>
        </w:rPr>
        <w:t>, uzupeł</w:t>
      </w:r>
      <w:r w:rsidR="00AB5475" w:rsidRPr="003257CE">
        <w:rPr>
          <w:rFonts w:cs="Calibri"/>
          <w:szCs w:val="22"/>
        </w:rPr>
        <w:t>nionego w dniu 7 lipca 2022 r.</w:t>
      </w:r>
      <w:r w:rsidR="00907588" w:rsidRPr="003257CE">
        <w:rPr>
          <w:rFonts w:cs="Calibri"/>
          <w:szCs w:val="22"/>
        </w:rPr>
        <w:t xml:space="preserve"> pismem </w:t>
      </w:r>
      <w:r w:rsidR="00AB5475" w:rsidRPr="003257CE">
        <w:rPr>
          <w:rFonts w:cs="Calibri"/>
          <w:szCs w:val="22"/>
        </w:rPr>
        <w:t>z</w:t>
      </w:r>
      <w:r w:rsidR="00784FD9">
        <w:rPr>
          <w:rFonts w:cs="Calibri"/>
          <w:szCs w:val="22"/>
        </w:rPr>
        <w:t> </w:t>
      </w:r>
      <w:r w:rsidR="00AB5475" w:rsidRPr="003257CE">
        <w:rPr>
          <w:rFonts w:cs="Calibri"/>
          <w:szCs w:val="22"/>
        </w:rPr>
        <w:t>dnia 4 lipca 2022 r.</w:t>
      </w:r>
    </w:p>
    <w:p w:rsidR="00534E89" w:rsidRPr="00BE0FD7" w:rsidRDefault="00534E89" w:rsidP="00BE0FD7">
      <w:pPr>
        <w:rPr>
          <w:b/>
        </w:rPr>
      </w:pPr>
      <w:r w:rsidRPr="00BE0FD7">
        <w:rPr>
          <w:b/>
        </w:rPr>
        <w:t xml:space="preserve">postanawiam </w:t>
      </w:r>
    </w:p>
    <w:p w:rsidR="007B353E" w:rsidRPr="003257CE" w:rsidRDefault="007B353E" w:rsidP="007B353E">
      <w:pPr>
        <w:pStyle w:val="Tekstpodstawowy"/>
        <w:jc w:val="left"/>
        <w:rPr>
          <w:rFonts w:cs="Calibri"/>
          <w:b/>
          <w:szCs w:val="22"/>
        </w:rPr>
      </w:pPr>
      <w:r w:rsidRPr="003257CE">
        <w:rPr>
          <w:rFonts w:cs="Calibri"/>
          <w:szCs w:val="22"/>
        </w:rPr>
        <w:t>uznać stanowiska Wnioskodawcy – w przedstawionym stanie faktycznym</w:t>
      </w:r>
      <w:r w:rsidR="00AB5475" w:rsidRPr="003257CE">
        <w:rPr>
          <w:rFonts w:cs="Calibri"/>
          <w:szCs w:val="22"/>
        </w:rPr>
        <w:t xml:space="preserve"> - </w:t>
      </w:r>
      <w:r w:rsidRPr="003257CE">
        <w:rPr>
          <w:rFonts w:cs="Calibri"/>
          <w:szCs w:val="22"/>
        </w:rPr>
        <w:t>za prawidłowe w</w:t>
      </w:r>
      <w:r w:rsidR="00784FD9">
        <w:rPr>
          <w:rFonts w:cs="Calibri"/>
          <w:szCs w:val="22"/>
        </w:rPr>
        <w:t> </w:t>
      </w:r>
      <w:r w:rsidRPr="003257CE">
        <w:rPr>
          <w:rFonts w:cs="Calibri"/>
          <w:szCs w:val="22"/>
        </w:rPr>
        <w:t xml:space="preserve"> obowiązującym stanie prawnym.</w:t>
      </w:r>
    </w:p>
    <w:p w:rsidR="00017F2C" w:rsidRPr="003257CE" w:rsidRDefault="00077D21" w:rsidP="00784FD9">
      <w:pPr>
        <w:pStyle w:val="Nagwek1"/>
      </w:pPr>
      <w:r w:rsidRPr="003257CE">
        <w:lastRenderedPageBreak/>
        <w:t>S</w:t>
      </w:r>
      <w:r w:rsidR="00017F2C" w:rsidRPr="003257CE">
        <w:t>tan faktyczny</w:t>
      </w:r>
      <w:r w:rsidR="00D12215" w:rsidRPr="003257CE">
        <w:t xml:space="preserve"> / zdarzenie pr</w:t>
      </w:r>
      <w:r w:rsidR="00784FD9">
        <w:t>zyszłe przedstawione we wniosku</w:t>
      </w:r>
    </w:p>
    <w:p w:rsidR="00907588" w:rsidRPr="003257CE" w:rsidRDefault="007B353E" w:rsidP="00784FD9">
      <w:pPr>
        <w:rPr>
          <w:lang w:bidi="pl-PL"/>
        </w:rPr>
      </w:pPr>
      <w:r w:rsidRPr="003257CE">
        <w:t xml:space="preserve">Z treści przedłożonego wniosku wynika, iż Wnioskodawca </w:t>
      </w:r>
      <w:r w:rsidR="00907588" w:rsidRPr="003257CE">
        <w:rPr>
          <w:lang w:bidi="pl-PL"/>
        </w:rPr>
        <w:t xml:space="preserve">jest posiadaczem dwóch obiektów budowlanych położonych w </w:t>
      </w:r>
      <w:r w:rsidR="00784FD9">
        <w:rPr>
          <w:lang w:bidi="pl-PL"/>
        </w:rPr>
        <w:t>(…)</w:t>
      </w:r>
      <w:r w:rsidR="00907588" w:rsidRPr="003257CE">
        <w:rPr>
          <w:lang w:bidi="pl-PL"/>
        </w:rPr>
        <w:t xml:space="preserve">. Jest </w:t>
      </w:r>
      <w:r w:rsidR="00907588" w:rsidRPr="003257CE">
        <w:rPr>
          <w:lang w:val="en-US" w:eastAsia="en-US" w:bidi="en-US"/>
        </w:rPr>
        <w:t xml:space="preserve">to </w:t>
      </w:r>
      <w:r w:rsidR="00907588" w:rsidRPr="003257CE">
        <w:rPr>
          <w:lang w:bidi="pl-PL"/>
        </w:rPr>
        <w:t xml:space="preserve">m. </w:t>
      </w:r>
      <w:r w:rsidR="00907588" w:rsidRPr="003257CE">
        <w:rPr>
          <w:lang w:val="en-US" w:eastAsia="en-US" w:bidi="en-US"/>
        </w:rPr>
        <w:t xml:space="preserve">in. </w:t>
      </w:r>
      <w:r w:rsidR="00907588" w:rsidRPr="003257CE">
        <w:rPr>
          <w:lang w:bidi="pl-PL"/>
        </w:rPr>
        <w:t>obiekt nazywany przepompownią wody sieciowej PP2. Przedmiotowa działka wchodzi w skład kompleksu będącego terenem zamkniętym ze względu na obronność i bezpieczeństwo państwa.</w:t>
      </w:r>
    </w:p>
    <w:p w:rsidR="00907588" w:rsidRPr="003257CE" w:rsidRDefault="00907588" w:rsidP="00784FD9">
      <w:r w:rsidRPr="003257CE">
        <w:rPr>
          <w:lang w:bidi="pl-PL"/>
        </w:rPr>
        <w:t xml:space="preserve">Obiekt o nazwie </w:t>
      </w:r>
      <w:r w:rsidRPr="003257CE">
        <w:rPr>
          <w:rStyle w:val="Bodytext2Bold"/>
          <w:rFonts w:ascii="Calibri" w:hAnsi="Calibri" w:cs="Calibri"/>
          <w:b w:val="0"/>
          <w:sz w:val="22"/>
          <w:szCs w:val="22"/>
        </w:rPr>
        <w:t>Przepompownia wody sieciowej PP2</w:t>
      </w:r>
      <w:r w:rsidRPr="003257CE">
        <w:rPr>
          <w:rStyle w:val="Bodytext2Bold"/>
          <w:rFonts w:ascii="Calibri" w:hAnsi="Calibri" w:cs="Calibri"/>
          <w:sz w:val="22"/>
          <w:szCs w:val="22"/>
        </w:rPr>
        <w:t xml:space="preserve"> </w:t>
      </w:r>
      <w:r w:rsidRPr="003257CE">
        <w:rPr>
          <w:lang w:bidi="pl-PL"/>
        </w:rPr>
        <w:t>to żelbetowy, jednokondygnacyjny obiekt podziemny. Posiada dach płaski o spadku 0,5%, cztery ściany wydzielające ją z otaczającej przestrzeni oraz jest posadowiona na żelbetowej płycie fundamentowej. Jest trwale związana z gruntem.</w:t>
      </w:r>
    </w:p>
    <w:p w:rsidR="00907588" w:rsidRPr="003257CE" w:rsidRDefault="00907588" w:rsidP="00784FD9">
      <w:r w:rsidRPr="003257CE">
        <w:rPr>
          <w:lang w:bidi="pl-PL"/>
        </w:rPr>
        <w:t>Na wspomnianej płycie fundamentowej o grubości 90 cm, wykonano płytę dociążającą grubości 50 cm, zabezpieczającą obiekt przed wyporem przez wody gruntowe. Obiekt o nazwie przepompownia wody sieciowej PP2 jest osadzony poniżej poziomu terenu co sprawia, że jest trwale połączony z</w:t>
      </w:r>
      <w:r w:rsidR="00784FD9">
        <w:rPr>
          <w:lang w:bidi="pl-PL"/>
        </w:rPr>
        <w:t> </w:t>
      </w:r>
      <w:r w:rsidRPr="003257CE">
        <w:rPr>
          <w:lang w:bidi="pl-PL"/>
        </w:rPr>
        <w:t>gruntem.</w:t>
      </w:r>
    </w:p>
    <w:p w:rsidR="00907588" w:rsidRPr="003257CE" w:rsidRDefault="00907588" w:rsidP="00784FD9">
      <w:r w:rsidRPr="003257CE">
        <w:rPr>
          <w:lang w:bidi="pl-PL"/>
        </w:rPr>
        <w:t>Wejście do obiektu zapewniają schody żelbetowe, umiejscowione od strony północnej na pozio</w:t>
      </w:r>
      <w:r w:rsidR="00D27A50">
        <w:rPr>
          <w:lang w:bidi="pl-PL"/>
        </w:rPr>
        <w:t>mie 0,20 m. Otwór wejściowy przy</w:t>
      </w:r>
      <w:r w:rsidRPr="003257CE">
        <w:rPr>
          <w:lang w:bidi="pl-PL"/>
        </w:rPr>
        <w:t>kryty jest stalową klapą. Schody opierają się na żelbetowych ścianach oporowych i prowadzą na poziom znajdujący się 3,00 m pod poziomem terenu.</w:t>
      </w:r>
    </w:p>
    <w:p w:rsidR="00907588" w:rsidRPr="003257CE" w:rsidRDefault="00907588" w:rsidP="00784FD9">
      <w:r w:rsidRPr="003257CE">
        <w:rPr>
          <w:lang w:bidi="pl-PL"/>
        </w:rPr>
        <w:t>Wewnątrz omawianego obiektu położono posadzkę betonową; ściany, sufit i posadzkę wykończono betonem zatartym na gładko.</w:t>
      </w:r>
    </w:p>
    <w:p w:rsidR="00907588" w:rsidRPr="003257CE" w:rsidRDefault="00907588" w:rsidP="00784FD9">
      <w:r w:rsidRPr="003257CE">
        <w:rPr>
          <w:lang w:bidi="pl-PL"/>
        </w:rPr>
        <w:t>W stropie występuje pięć otworów montażowych, które po umieszczeniu w nich rurociągów i pomp przykryto płytami prefabrykowanymi, uszczelnionymi masą bitumiczna. Otwory - wraz ze stropem - zostały zasypane warstwą ziemi o grubości 40 cm.</w:t>
      </w:r>
    </w:p>
    <w:p w:rsidR="00907588" w:rsidRPr="003257CE" w:rsidRDefault="00907588" w:rsidP="00784FD9">
      <w:pPr>
        <w:rPr>
          <w:lang w:bidi="pl-PL"/>
        </w:rPr>
      </w:pPr>
      <w:r w:rsidRPr="003257CE">
        <w:rPr>
          <w:lang w:bidi="pl-PL"/>
        </w:rPr>
        <w:t>Przedmiotowy obiekt posiada specjalną izolację i system wentylacyjny, chroniące obiekt przed skraplanie się wody. System wentylacji jest połączony z kanałami wentylacyjnymi poprzez dwa otwory o wymiarach 1,00 m x 1,3 m, wykonane w ścianach. W części podziemnej kanały wentylacyjne są żelbetowe, natomiast w cz</w:t>
      </w:r>
      <w:r w:rsidR="00D27A50">
        <w:rPr>
          <w:lang w:bidi="pl-PL"/>
        </w:rPr>
        <w:t>ęści nadziemnej - murowane, przy</w:t>
      </w:r>
      <w:r w:rsidRPr="003257CE">
        <w:rPr>
          <w:lang w:bidi="pl-PL"/>
        </w:rPr>
        <w:t>kryte daszkiem.</w:t>
      </w:r>
    </w:p>
    <w:p w:rsidR="0026681F" w:rsidRPr="003257CE" w:rsidRDefault="0026681F" w:rsidP="00784FD9">
      <w:r w:rsidRPr="0026681F">
        <w:t>Wymiary obiektu to: długość: 24,50 m, szerokość: 16,50 m, wysokość: 7,17 m. Jego powierzchnia użytkowa wynosi 382,00 m</w:t>
      </w:r>
      <w:r w:rsidRPr="0026681F">
        <w:rPr>
          <w:vertAlign w:val="superscript"/>
        </w:rPr>
        <w:t>2</w:t>
      </w:r>
      <w:r w:rsidRPr="0026681F">
        <w:t>, kubatura - 2 738,00 m</w:t>
      </w:r>
      <w:r w:rsidRPr="0026681F">
        <w:rPr>
          <w:vertAlign w:val="superscript"/>
        </w:rPr>
        <w:t>3</w:t>
      </w:r>
      <w:r w:rsidRPr="0026681F">
        <w:t>, zaś powierzchnia zabudowy to 404,25 m</w:t>
      </w:r>
      <w:r w:rsidRPr="0026681F">
        <w:rPr>
          <w:vertAlign w:val="superscript"/>
        </w:rPr>
        <w:t>2</w:t>
      </w:r>
      <w:r w:rsidRPr="0026681F">
        <w:t>.</w:t>
      </w:r>
    </w:p>
    <w:p w:rsidR="00907588" w:rsidRPr="003257CE" w:rsidRDefault="00907588" w:rsidP="00784FD9">
      <w:r w:rsidRPr="003257CE">
        <w:rPr>
          <w:lang w:bidi="pl-PL"/>
        </w:rPr>
        <w:t xml:space="preserve">Opisany obiekt funkcjonuje jako pompownia wody sieciowej zapewniając odpowiednie ciśnienie dyspozycyjne, niezbędne dla prawidłowej pracy instalacji lub węzłów ciepłowniczych u odbiorców energii cieplnej. Z uwagi na powyższe, umieszczono w nim zestaw pompowy, obejmujący trzy pompy przewałowe na falownikach wraz z rurociągami, armaturą, </w:t>
      </w:r>
      <w:proofErr w:type="spellStart"/>
      <w:r w:rsidRPr="003257CE">
        <w:rPr>
          <w:lang w:bidi="pl-PL"/>
        </w:rPr>
        <w:t>odwodnieniami</w:t>
      </w:r>
      <w:proofErr w:type="spellEnd"/>
      <w:r w:rsidRPr="003257CE">
        <w:rPr>
          <w:lang w:bidi="pl-PL"/>
        </w:rPr>
        <w:t xml:space="preserve"> i odpowietrzeniem, a</w:t>
      </w:r>
      <w:r w:rsidR="00B85220">
        <w:rPr>
          <w:lang w:bidi="pl-PL"/>
        </w:rPr>
        <w:t> </w:t>
      </w:r>
      <w:r w:rsidRPr="003257CE">
        <w:rPr>
          <w:lang w:bidi="pl-PL"/>
        </w:rPr>
        <w:t xml:space="preserve"> także aparaturę kontrolno-pomiarową z automatyką. W obiekcie wykonano podesty i schody do</w:t>
      </w:r>
      <w:r w:rsidR="00B85220">
        <w:rPr>
          <w:lang w:bidi="pl-PL"/>
        </w:rPr>
        <w:t> </w:t>
      </w:r>
      <w:r w:rsidRPr="003257CE">
        <w:rPr>
          <w:lang w:bidi="pl-PL"/>
        </w:rPr>
        <w:t>obsługi zainstalowanych falowników i szaf elektrycznych oraz żurawie słupowe.</w:t>
      </w:r>
    </w:p>
    <w:p w:rsidR="00D75589" w:rsidRPr="003257CE" w:rsidRDefault="00D75589" w:rsidP="00784FD9">
      <w:r w:rsidRPr="003257CE">
        <w:rPr>
          <w:lang w:bidi="pl-PL"/>
        </w:rPr>
        <w:lastRenderedPageBreak/>
        <w:t>Przedmiotowy o</w:t>
      </w:r>
      <w:r w:rsidR="00907588" w:rsidRPr="003257CE">
        <w:rPr>
          <w:lang w:bidi="pl-PL"/>
        </w:rPr>
        <w:t xml:space="preserve">biekt </w:t>
      </w:r>
      <w:r w:rsidRPr="003257CE">
        <w:rPr>
          <w:lang w:bidi="pl-PL"/>
        </w:rPr>
        <w:t>w</w:t>
      </w:r>
      <w:r w:rsidR="00907588" w:rsidRPr="003257CE">
        <w:rPr>
          <w:lang w:bidi="pl-PL"/>
        </w:rPr>
        <w:t xml:space="preserve">yposażono w instalację oświetlenia ogólnego i awaryjnego, gniazda 230 V, siły, wentylacji, szaf </w:t>
      </w:r>
      <w:proofErr w:type="spellStart"/>
      <w:r w:rsidR="00907588" w:rsidRPr="003257CE">
        <w:rPr>
          <w:lang w:bidi="pl-PL"/>
        </w:rPr>
        <w:t>AKPiA</w:t>
      </w:r>
      <w:proofErr w:type="spellEnd"/>
      <w:r w:rsidR="00907588" w:rsidRPr="003257CE">
        <w:rPr>
          <w:lang w:bidi="pl-PL"/>
        </w:rPr>
        <w:t xml:space="preserve">, pomp przewałowych, układu wyłączeni pożarowych, a także w instalacje słaboprądowe </w:t>
      </w:r>
      <w:r w:rsidR="00907588" w:rsidRPr="003257CE">
        <w:rPr>
          <w:lang w:val="en-US" w:eastAsia="en-US" w:bidi="en-US"/>
        </w:rPr>
        <w:t xml:space="preserve">CCTV </w:t>
      </w:r>
      <w:r w:rsidR="009B6DB9" w:rsidRPr="003257CE">
        <w:rPr>
          <w:lang w:bidi="pl-PL"/>
        </w:rPr>
        <w:t>i S</w:t>
      </w:r>
      <w:r w:rsidR="00907588" w:rsidRPr="003257CE">
        <w:rPr>
          <w:lang w:bidi="pl-PL"/>
        </w:rPr>
        <w:t>WIN.</w:t>
      </w:r>
      <w:r w:rsidRPr="003257CE">
        <w:rPr>
          <w:lang w:bidi="pl-PL"/>
        </w:rPr>
        <w:t xml:space="preserve"> Ponadto w całej dokumentacji budowlanej dotyczącej przedmiotowego w skład której wchodzą:</w:t>
      </w:r>
    </w:p>
    <w:p w:rsidR="00D75589" w:rsidRPr="003257CE" w:rsidRDefault="00D75589" w:rsidP="00B85220">
      <w:pPr>
        <w:pStyle w:val="Bodytext20"/>
        <w:numPr>
          <w:ilvl w:val="0"/>
          <w:numId w:val="20"/>
        </w:numPr>
        <w:shd w:val="clear" w:color="auto" w:fill="auto"/>
        <w:tabs>
          <w:tab w:val="left" w:pos="748"/>
        </w:tabs>
        <w:spacing w:line="300" w:lineRule="auto"/>
        <w:ind w:left="777" w:hanging="357"/>
        <w:rPr>
          <w:rFonts w:cs="Calibri"/>
        </w:rPr>
      </w:pPr>
      <w:r w:rsidRPr="003257CE">
        <w:rPr>
          <w:rFonts w:cs="Calibri"/>
          <w:color w:val="000000"/>
          <w:lang w:bidi="pl-PL"/>
        </w:rPr>
        <w:t>projekt wykonawczy (zatytułowany „Budowa przepompowni wody sieciowej PP2 dla magistrali S.C. o śr. 2Xnd700 wraz z siecią cieplną łączącą przepompownię z magistralą; branża konstrukcyjna" z marca 2015 r</w:t>
      </w:r>
      <w:r w:rsidR="009B6DB9" w:rsidRPr="003257CE">
        <w:rPr>
          <w:rFonts w:cs="Calibri"/>
          <w:color w:val="000000"/>
          <w:lang w:bidi="pl-PL"/>
        </w:rPr>
        <w:t>.,</w:t>
      </w:r>
      <w:r w:rsidRPr="003257CE">
        <w:rPr>
          <w:rFonts w:cs="Calibri"/>
          <w:color w:val="000000"/>
          <w:lang w:bidi="pl-PL"/>
        </w:rPr>
        <w:t xml:space="preserve"> przygotowany przez </w:t>
      </w:r>
      <w:r w:rsidR="00B85220">
        <w:rPr>
          <w:rFonts w:cs="Calibri"/>
          <w:color w:val="000000"/>
          <w:lang w:bidi="pl-PL"/>
        </w:rPr>
        <w:t>(…)</w:t>
      </w:r>
      <w:r w:rsidRPr="003257CE">
        <w:rPr>
          <w:rFonts w:cs="Calibri"/>
          <w:color w:val="000000"/>
          <w:lang w:bidi="pl-PL"/>
        </w:rPr>
        <w:t xml:space="preserve"> Sp. z o.o.),</w:t>
      </w:r>
    </w:p>
    <w:p w:rsidR="00D75589" w:rsidRPr="003257CE" w:rsidRDefault="00D75589" w:rsidP="00B85220">
      <w:pPr>
        <w:pStyle w:val="Bodytext20"/>
        <w:numPr>
          <w:ilvl w:val="0"/>
          <w:numId w:val="20"/>
        </w:numPr>
        <w:shd w:val="clear" w:color="auto" w:fill="auto"/>
        <w:tabs>
          <w:tab w:val="left" w:pos="748"/>
        </w:tabs>
        <w:spacing w:line="300" w:lineRule="auto"/>
        <w:ind w:left="777" w:hanging="357"/>
        <w:rPr>
          <w:rFonts w:cs="Calibri"/>
        </w:rPr>
      </w:pPr>
      <w:r w:rsidRPr="003257CE">
        <w:rPr>
          <w:rFonts w:cs="Calibri"/>
          <w:color w:val="000000"/>
          <w:lang w:bidi="pl-PL"/>
        </w:rPr>
        <w:t xml:space="preserve">projekt budowlano-wykonawczy (odnoszący się do podestu oraz schodów w obiekcie </w:t>
      </w:r>
      <w:r w:rsidR="006E1E6A" w:rsidRPr="003257CE">
        <w:rPr>
          <w:rFonts w:cs="Calibri"/>
          <w:color w:val="000000"/>
          <w:lang w:bidi="pl-PL"/>
        </w:rPr>
        <w:br/>
      </w:r>
      <w:r w:rsidRPr="003257CE">
        <w:rPr>
          <w:rFonts w:cs="Calibri"/>
          <w:color w:val="000000"/>
          <w:lang w:bidi="pl-PL"/>
        </w:rPr>
        <w:t xml:space="preserve">z sierpnia 2016 r., przygotowany przez </w:t>
      </w:r>
      <w:r w:rsidR="00B85220">
        <w:rPr>
          <w:rFonts w:cs="Calibri"/>
          <w:color w:val="000000"/>
          <w:lang w:bidi="pl-PL"/>
        </w:rPr>
        <w:t>(…)</w:t>
      </w:r>
      <w:r w:rsidRPr="003257CE">
        <w:rPr>
          <w:rFonts w:cs="Calibri"/>
          <w:color w:val="000000"/>
          <w:lang w:bidi="pl-PL"/>
        </w:rPr>
        <w:t>,</w:t>
      </w:r>
    </w:p>
    <w:p w:rsidR="00D75589" w:rsidRPr="003257CE" w:rsidRDefault="00D75589" w:rsidP="00B85220">
      <w:pPr>
        <w:pStyle w:val="Bodytext20"/>
        <w:numPr>
          <w:ilvl w:val="0"/>
          <w:numId w:val="20"/>
        </w:numPr>
        <w:shd w:val="clear" w:color="auto" w:fill="auto"/>
        <w:tabs>
          <w:tab w:val="left" w:pos="748"/>
        </w:tabs>
        <w:spacing w:line="300" w:lineRule="auto"/>
        <w:ind w:left="777" w:hanging="357"/>
        <w:rPr>
          <w:rFonts w:cs="Calibri"/>
        </w:rPr>
      </w:pPr>
      <w:r w:rsidRPr="003257CE">
        <w:rPr>
          <w:rFonts w:cs="Calibri"/>
          <w:color w:val="000000"/>
          <w:lang w:bidi="pl-PL"/>
        </w:rPr>
        <w:t>projekt budowlano-wykonawczy (dotyczący przesuwnej klapy zamykającej scho</w:t>
      </w:r>
      <w:r w:rsidR="009B6DB9" w:rsidRPr="003257CE">
        <w:rPr>
          <w:rFonts w:cs="Calibri"/>
          <w:color w:val="000000"/>
          <w:lang w:bidi="pl-PL"/>
        </w:rPr>
        <w:t>dy do obiektu z kwietnia 2017 r.,</w:t>
      </w:r>
      <w:r w:rsidRPr="003257CE">
        <w:rPr>
          <w:rFonts w:cs="Calibri"/>
          <w:color w:val="000000"/>
          <w:lang w:bidi="pl-PL"/>
        </w:rPr>
        <w:t xml:space="preserve"> przygotowany przez </w:t>
      </w:r>
      <w:r w:rsidR="00B85220">
        <w:rPr>
          <w:rFonts w:cs="Calibri"/>
          <w:color w:val="000000"/>
          <w:lang w:bidi="pl-PL"/>
        </w:rPr>
        <w:t>(…)</w:t>
      </w:r>
      <w:r w:rsidRPr="003257CE">
        <w:rPr>
          <w:rFonts w:cs="Calibri"/>
          <w:color w:val="000000"/>
          <w:lang w:bidi="pl-PL"/>
        </w:rPr>
        <w:t>,</w:t>
      </w:r>
    </w:p>
    <w:p w:rsidR="00D75589" w:rsidRPr="003257CE" w:rsidRDefault="00D75589" w:rsidP="00784FD9">
      <w:pPr>
        <w:rPr>
          <w:lang w:bidi="pl-PL"/>
        </w:rPr>
      </w:pPr>
      <w:r w:rsidRPr="003257CE">
        <w:rPr>
          <w:lang w:bidi="pl-PL"/>
        </w:rPr>
        <w:t>jest on konsekwentnie określany jako budynek.</w:t>
      </w:r>
    </w:p>
    <w:p w:rsidR="00D75589" w:rsidRPr="003257CE" w:rsidRDefault="00D75589" w:rsidP="00B85220">
      <w:pPr>
        <w:rPr>
          <w:lang w:bidi="pl-PL"/>
        </w:rPr>
      </w:pPr>
      <w:r w:rsidRPr="003257CE">
        <w:rPr>
          <w:lang w:bidi="pl-PL"/>
        </w:rPr>
        <w:t>Ponadto z uzupełnienia wniosku z dnia 4 lipca 2022 roku wynika między innymi to, iż funkcją przedmiotowego obiektu jest zapewnienie odpowiedniego ciśnienia dyspozycyjnego, niezbędnego dla prawidłowej pracy instalacji lub węzłów ciepłowniczych u odbiorców energii cieplnej. Z uwagi na</w:t>
      </w:r>
      <w:r w:rsidR="00B85220">
        <w:rPr>
          <w:lang w:bidi="pl-PL"/>
        </w:rPr>
        <w:t> </w:t>
      </w:r>
      <w:r w:rsidRPr="003257CE">
        <w:rPr>
          <w:lang w:bidi="pl-PL"/>
        </w:rPr>
        <w:t xml:space="preserve"> swoją funkcję obiekt ten został wyposażony m.in. w zestaw pompowy obejmujący trzy pompy przewałowe na falownikach wraz z rurociągami, armaturą, </w:t>
      </w:r>
      <w:proofErr w:type="spellStart"/>
      <w:r w:rsidRPr="003257CE">
        <w:rPr>
          <w:lang w:bidi="pl-PL"/>
        </w:rPr>
        <w:t>odwodnieniami</w:t>
      </w:r>
      <w:proofErr w:type="spellEnd"/>
      <w:r w:rsidRPr="003257CE">
        <w:rPr>
          <w:lang w:bidi="pl-PL"/>
        </w:rPr>
        <w:t xml:space="preserve"> i odpowietrzeniem, a</w:t>
      </w:r>
      <w:r w:rsidR="00B85220">
        <w:rPr>
          <w:lang w:bidi="pl-PL"/>
        </w:rPr>
        <w:t> </w:t>
      </w:r>
      <w:r w:rsidRPr="003257CE">
        <w:rPr>
          <w:lang w:bidi="pl-PL"/>
        </w:rPr>
        <w:t xml:space="preserve"> także aparaturę kontrolno-pomiarową z automatyką oraz mechaniczną wentylację. W obiekcie wykonano również podesty i schody do obsługi zainstalowanych falowników i szaf elektrycznych oraz</w:t>
      </w:r>
      <w:r w:rsidR="00B85220">
        <w:rPr>
          <w:lang w:bidi="pl-PL"/>
        </w:rPr>
        <w:t> </w:t>
      </w:r>
      <w:r w:rsidRPr="003257CE">
        <w:rPr>
          <w:lang w:bidi="pl-PL"/>
        </w:rPr>
        <w:t>żurawie słupowe.</w:t>
      </w:r>
    </w:p>
    <w:p w:rsidR="00D75589" w:rsidRPr="00784FD9" w:rsidRDefault="00D75589" w:rsidP="00784FD9">
      <w:r w:rsidRPr="003257CE">
        <w:rPr>
          <w:lang w:bidi="pl-PL"/>
        </w:rPr>
        <w:t xml:space="preserve">Ponadto z treści uzupełnienia wniosku (pismo z dnia 4 lipca 2022 roku) wynika, </w:t>
      </w:r>
      <w:r w:rsidRPr="00784FD9">
        <w:rPr>
          <w:lang w:bidi="pl-PL"/>
        </w:rPr>
        <w:t>iż „(…) na skutek złożenia wniosku z dnia 07 czerwca 2022 r. zamiarem Wnioskodawcy:</w:t>
      </w:r>
    </w:p>
    <w:p w:rsidR="00D75589" w:rsidRPr="00784FD9" w:rsidRDefault="00D75589" w:rsidP="00784FD9">
      <w:pPr>
        <w:pStyle w:val="Bodytext20"/>
        <w:numPr>
          <w:ilvl w:val="0"/>
          <w:numId w:val="24"/>
        </w:numPr>
        <w:shd w:val="clear" w:color="auto" w:fill="auto"/>
        <w:spacing w:line="278" w:lineRule="exact"/>
        <w:rPr>
          <w:rFonts w:cs="Calibri"/>
        </w:rPr>
      </w:pPr>
      <w:r w:rsidRPr="00784FD9">
        <w:rPr>
          <w:rFonts w:eastAsia="Arial Narrow" w:cs="Calibri"/>
        </w:rPr>
        <w:t>JEST</w:t>
      </w:r>
      <w:r w:rsidRPr="00784FD9">
        <w:rPr>
          <w:rFonts w:cs="Calibri"/>
          <w:color w:val="000000"/>
          <w:lang w:bidi="pl-PL"/>
        </w:rPr>
        <w:t xml:space="preserve"> uzyskanie interpretacji indywidualnej przepisów prawa podatkowego dotyczącej jedynie obiektu o nazwie „Przepompownia wody sieciowej PP2", który w ewidencji księgowej Wnioskodawcy stanowi odrębny środek trwały nr </w:t>
      </w:r>
      <w:proofErr w:type="spellStart"/>
      <w:r w:rsidRPr="00784FD9">
        <w:rPr>
          <w:rFonts w:cs="Calibri"/>
          <w:color w:val="000000"/>
          <w:lang w:bidi="pl-PL"/>
        </w:rPr>
        <w:t>inw</w:t>
      </w:r>
      <w:proofErr w:type="spellEnd"/>
      <w:r w:rsidRPr="00784FD9">
        <w:rPr>
          <w:rFonts w:cs="Calibri"/>
          <w:color w:val="000000"/>
          <w:lang w:bidi="pl-PL"/>
        </w:rPr>
        <w:t xml:space="preserve">. </w:t>
      </w:r>
      <w:r w:rsidR="00784FD9">
        <w:rPr>
          <w:rFonts w:cs="Calibri"/>
          <w:color w:val="000000"/>
          <w:lang w:bidi="pl-PL"/>
        </w:rPr>
        <w:t>(…)</w:t>
      </w:r>
      <w:r w:rsidRPr="00784FD9">
        <w:rPr>
          <w:rFonts w:cs="Calibri"/>
          <w:color w:val="000000"/>
          <w:lang w:bidi="pl-PL"/>
        </w:rPr>
        <w:t>;</w:t>
      </w:r>
    </w:p>
    <w:p w:rsidR="00D75589" w:rsidRPr="00784FD9" w:rsidRDefault="00D75589" w:rsidP="00784FD9">
      <w:pPr>
        <w:pStyle w:val="Bodytext20"/>
        <w:numPr>
          <w:ilvl w:val="0"/>
          <w:numId w:val="24"/>
        </w:numPr>
        <w:shd w:val="clear" w:color="auto" w:fill="auto"/>
        <w:spacing w:after="120" w:line="278" w:lineRule="exact"/>
        <w:rPr>
          <w:rFonts w:cs="Calibri"/>
          <w:color w:val="000000"/>
          <w:lang w:bidi="pl-PL"/>
        </w:rPr>
      </w:pPr>
      <w:r w:rsidRPr="00784FD9">
        <w:rPr>
          <w:rFonts w:eastAsia="Arial Narrow" w:cs="Calibri"/>
        </w:rPr>
        <w:t>NIE JEST</w:t>
      </w:r>
      <w:r w:rsidRPr="00784FD9">
        <w:rPr>
          <w:rFonts w:cs="Calibri"/>
          <w:color w:val="000000"/>
          <w:lang w:bidi="pl-PL"/>
        </w:rPr>
        <w:t xml:space="preserve"> uzyskanie interpretacji indywidualnej przepisów prawa podatkowego w zakresie zamontowanych wewnątrz obiektu o nazwie „Przepompowni wody sieciowej PP2" urządzeń służących pompowaniu wody sieciowej, które stanowią odrębne, samodzielne środki trwałe</w:t>
      </w:r>
      <w:r w:rsidR="006B3D01" w:rsidRPr="00784FD9">
        <w:rPr>
          <w:rFonts w:cs="Calibri"/>
          <w:color w:val="000000"/>
          <w:lang w:bidi="pl-PL"/>
        </w:rPr>
        <w:t xml:space="preserve"> (…)”.</w:t>
      </w:r>
    </w:p>
    <w:p w:rsidR="006B3D01" w:rsidRPr="003257CE" w:rsidRDefault="006B3D01" w:rsidP="00784FD9">
      <w:r w:rsidRPr="003257CE">
        <w:t xml:space="preserve">W świetle tak opisanego stanu faktycznego pytanie Wnioskodawcy dotyczy tego, czy w opisanym stanie faktycznym obiekt </w:t>
      </w:r>
      <w:r w:rsidRPr="003257CE">
        <w:rPr>
          <w:lang w:bidi="pl-PL"/>
        </w:rPr>
        <w:t xml:space="preserve">nazywany przepompownią wody sieciowej PP2 jest budynkiem zdefiniowanym w </w:t>
      </w:r>
      <w:r w:rsidRPr="003257CE">
        <w:rPr>
          <w:lang w:val="en-US" w:eastAsia="en-US" w:bidi="en-US"/>
        </w:rPr>
        <w:t>art. 1</w:t>
      </w:r>
      <w:r w:rsidRPr="003257CE">
        <w:rPr>
          <w:lang w:bidi="pl-PL"/>
        </w:rPr>
        <w:t>a ust. 1 pkt 1 ust</w:t>
      </w:r>
      <w:r w:rsidR="0084716C" w:rsidRPr="003257CE">
        <w:rPr>
          <w:lang w:bidi="pl-PL"/>
        </w:rPr>
        <w:t>awy z dnia 12 stycznia 1991 r.</w:t>
      </w:r>
      <w:r w:rsidRPr="003257CE">
        <w:rPr>
          <w:lang w:bidi="pl-PL"/>
        </w:rPr>
        <w:t xml:space="preserve"> o podatkach i opłatach lokalnych </w:t>
      </w:r>
      <w:r w:rsidR="0084716C" w:rsidRPr="003257CE">
        <w:rPr>
          <w:lang w:bidi="pl-PL"/>
        </w:rPr>
        <w:t>w związku z</w:t>
      </w:r>
      <w:r w:rsidRPr="003257CE">
        <w:rPr>
          <w:lang w:bidi="pl-PL"/>
        </w:rPr>
        <w:t xml:space="preserve"> </w:t>
      </w:r>
      <w:r w:rsidRPr="003257CE">
        <w:rPr>
          <w:lang w:val="de-DE" w:eastAsia="de-DE" w:bidi="de-DE"/>
        </w:rPr>
        <w:t xml:space="preserve">art. </w:t>
      </w:r>
      <w:r w:rsidRPr="003257CE">
        <w:rPr>
          <w:lang w:bidi="pl-PL"/>
        </w:rPr>
        <w:t xml:space="preserve">3 pkt 1 </w:t>
      </w:r>
      <w:r w:rsidR="0084716C" w:rsidRPr="003257CE">
        <w:rPr>
          <w:lang w:bidi="pl-PL"/>
        </w:rPr>
        <w:t>ustawy z dnia 7 lipca 1994 r.</w:t>
      </w:r>
      <w:r w:rsidR="009B6DB9" w:rsidRPr="003257CE">
        <w:rPr>
          <w:lang w:bidi="pl-PL"/>
        </w:rPr>
        <w:t xml:space="preserve"> -</w:t>
      </w:r>
      <w:r w:rsidR="0084716C" w:rsidRPr="003257CE">
        <w:rPr>
          <w:lang w:bidi="pl-PL"/>
        </w:rPr>
        <w:t xml:space="preserve"> P</w:t>
      </w:r>
      <w:r w:rsidR="0084716C" w:rsidRPr="003257CE">
        <w:t>rawo budowla</w:t>
      </w:r>
      <w:r w:rsidR="009B6DB9" w:rsidRPr="003257CE">
        <w:t>ne</w:t>
      </w:r>
      <w:r w:rsidR="0084716C" w:rsidRPr="003257CE">
        <w:t xml:space="preserve">. </w:t>
      </w:r>
    </w:p>
    <w:p w:rsidR="00D12215" w:rsidRPr="00784FD9" w:rsidRDefault="00077D21" w:rsidP="00784FD9">
      <w:pPr>
        <w:pStyle w:val="Nagwek1"/>
        <w:rPr>
          <w:lang w:bidi="pl-PL"/>
        </w:rPr>
      </w:pPr>
      <w:r w:rsidRPr="003257CE">
        <w:rPr>
          <w:lang w:bidi="pl-PL"/>
        </w:rPr>
        <w:lastRenderedPageBreak/>
        <w:t>S</w:t>
      </w:r>
      <w:r w:rsidR="00D12215" w:rsidRPr="003257CE">
        <w:rPr>
          <w:lang w:bidi="pl-PL"/>
        </w:rPr>
        <w:t>tanowisko Wnioskodawcy w sprawie</w:t>
      </w:r>
    </w:p>
    <w:p w:rsidR="00A82F60" w:rsidRPr="003257CE" w:rsidRDefault="007B353E" w:rsidP="00784FD9">
      <w:r w:rsidRPr="003257CE">
        <w:t>Zdaniem Wnioskodawcy</w:t>
      </w:r>
      <w:r w:rsidR="00A82F60" w:rsidRPr="003257CE">
        <w:t>, s</w:t>
      </w:r>
      <w:r w:rsidR="00A82F60" w:rsidRPr="003257CE">
        <w:rPr>
          <w:lang w:bidi="pl-PL"/>
        </w:rPr>
        <w:t xml:space="preserve">charakteryzowany powyżej obiekt nazywany przepompownią wody sieciowej PP2 jest budynkiem zdefiniowanym w </w:t>
      </w:r>
      <w:r w:rsidR="00A82F60" w:rsidRPr="003257CE">
        <w:rPr>
          <w:lang w:val="en-US" w:eastAsia="en-US" w:bidi="en-US"/>
        </w:rPr>
        <w:t xml:space="preserve">art. </w:t>
      </w:r>
      <w:r w:rsidR="00A82F60" w:rsidRPr="003257CE">
        <w:rPr>
          <w:lang w:bidi="pl-PL"/>
        </w:rPr>
        <w:t xml:space="preserve">1 a ust. 1 pkt 1 ustawy o podatkach i opłatach lokalnych  w związku z </w:t>
      </w:r>
      <w:r w:rsidR="00A82F60" w:rsidRPr="003257CE">
        <w:rPr>
          <w:lang w:val="en-US" w:eastAsia="en-US" w:bidi="en-US"/>
        </w:rPr>
        <w:t xml:space="preserve">art. </w:t>
      </w:r>
      <w:r w:rsidR="00A82F60" w:rsidRPr="003257CE">
        <w:rPr>
          <w:lang w:bidi="pl-PL"/>
        </w:rPr>
        <w:t>3 pkt 1 ustawy</w:t>
      </w:r>
      <w:r w:rsidR="009B6DB9" w:rsidRPr="003257CE">
        <w:rPr>
          <w:lang w:bidi="pl-PL"/>
        </w:rPr>
        <w:t xml:space="preserve"> -</w:t>
      </w:r>
      <w:r w:rsidR="00A82F60" w:rsidRPr="003257CE">
        <w:rPr>
          <w:lang w:bidi="pl-PL"/>
        </w:rPr>
        <w:t xml:space="preserve"> Prawo budowlane. </w:t>
      </w:r>
    </w:p>
    <w:p w:rsidR="00D12215" w:rsidRPr="003257CE" w:rsidRDefault="00D12215" w:rsidP="00784FD9">
      <w:pPr>
        <w:pStyle w:val="Nagwek1"/>
      </w:pPr>
      <w:r w:rsidRPr="003257CE">
        <w:t>Ocena stanowiska Wnioskodawcy wraz z uzasadnieniem prawnym</w:t>
      </w:r>
    </w:p>
    <w:p w:rsidR="0026681F" w:rsidRPr="003257CE" w:rsidRDefault="0026681F" w:rsidP="00784FD9">
      <w:r w:rsidRPr="003257CE">
        <w:t xml:space="preserve">W pierwszej kolejności zastrzec należy, że niniejsza interpretacja nie dotyczy kwestii opodatkowania podatkiem od nieruchomości </w:t>
      </w:r>
      <w:r w:rsidRPr="0026681F">
        <w:t>zamontowanych wewnątrz obiektu o nazwie „Przepompowni</w:t>
      </w:r>
      <w:r>
        <w:t>a</w:t>
      </w:r>
      <w:r w:rsidRPr="0026681F">
        <w:t xml:space="preserve"> wody sieciowej PP2” urządzeń służ</w:t>
      </w:r>
      <w:r w:rsidR="006E1E6A">
        <w:t>ących pompowaniu wody sieciowej</w:t>
      </w:r>
      <w:r w:rsidRPr="0026681F">
        <w:t>.</w:t>
      </w:r>
    </w:p>
    <w:p w:rsidR="00A82F60" w:rsidRPr="003257CE" w:rsidRDefault="00A82F60" w:rsidP="00784FD9">
      <w:r w:rsidRPr="003257CE">
        <w:t>Zgodnie z art. 2 ust. 1 ustawy z dnia 12 stycznia 1991 r. o podatkach i opłatach lokalnych (Dz.</w:t>
      </w:r>
      <w:r w:rsidR="00B85220">
        <w:t> </w:t>
      </w:r>
      <w:r w:rsidRPr="003257CE">
        <w:t xml:space="preserve"> U.</w:t>
      </w:r>
      <w:r w:rsidR="00B85220">
        <w:t> </w:t>
      </w:r>
      <w:r w:rsidRPr="003257CE">
        <w:t>z</w:t>
      </w:r>
      <w:r w:rsidR="00B85220">
        <w:t> </w:t>
      </w:r>
      <w:r w:rsidRPr="003257CE">
        <w:t xml:space="preserve"> 2022 r. poz. 1</w:t>
      </w:r>
      <w:r w:rsidR="00487BE7" w:rsidRPr="003257CE">
        <w:t>452</w:t>
      </w:r>
      <w:r w:rsidRPr="003257CE">
        <w:t>; dalej jako „upol”), opodatkowaniu podatkiem od nieruchomości podlegają grunty, budynki lub ich części oraz budowle lub ich części związane z prowadzeniem działalności gospodarczej.</w:t>
      </w:r>
    </w:p>
    <w:p w:rsidR="00487BE7" w:rsidRPr="003257CE" w:rsidRDefault="00A82F60" w:rsidP="00784FD9">
      <w:r w:rsidRPr="003257CE">
        <w:t xml:space="preserve">W myśl art. 1a ust. 1 pkt 1 upol, budynkiem jest obiekt budowlany w rozumieniu przepisów prawa budowlanego, który jest trwale związany z gruntem, wydzielony z przestrzeni za pomocą przegród budowlanych oraz posiada fundamenty i dach. </w:t>
      </w:r>
    </w:p>
    <w:p w:rsidR="00A82F60" w:rsidRPr="003257CE" w:rsidRDefault="00487BE7" w:rsidP="00784FD9">
      <w:r w:rsidRPr="003257CE">
        <w:t>W</w:t>
      </w:r>
      <w:r w:rsidR="00437829" w:rsidRPr="003257CE">
        <w:t xml:space="preserve"> myśl art. 3 pkt 1 </w:t>
      </w:r>
      <w:r w:rsidR="00A82F60" w:rsidRPr="003257CE">
        <w:t>ustawy z dnia 7 lipca 1994 r. - Prawo budowlane (Dz.</w:t>
      </w:r>
      <w:r w:rsidRPr="003257CE">
        <w:t xml:space="preserve"> </w:t>
      </w:r>
      <w:r w:rsidR="00A82F60" w:rsidRPr="003257CE">
        <w:t>U. z 2021 r. poz. 2351</w:t>
      </w:r>
      <w:r w:rsidRPr="003257CE">
        <w:t>,</w:t>
      </w:r>
      <w:r w:rsidR="00A82F60" w:rsidRPr="003257CE">
        <w:t xml:space="preserve"> z</w:t>
      </w:r>
      <w:r w:rsidR="00B85220">
        <w:t> </w:t>
      </w:r>
      <w:r w:rsidR="00A82F60" w:rsidRPr="003257CE">
        <w:t xml:space="preserve"> późn. zm.; dalej jako „pr. bud.”)</w:t>
      </w:r>
      <w:r w:rsidR="00437829" w:rsidRPr="003257CE">
        <w:t xml:space="preserve">, </w:t>
      </w:r>
      <w:r w:rsidR="00A82F60" w:rsidRPr="003257CE">
        <w:rPr>
          <w:color w:val="000000"/>
          <w:lang w:bidi="pl-PL"/>
        </w:rPr>
        <w:t>obiektem budowlanym jest budynek, budowla bądź obiekt małej architektury, wraz z instalacjami zapewniającymi możliwość użytkowania obiektu zgodnie z j</w:t>
      </w:r>
      <w:r w:rsidR="00437829" w:rsidRPr="003257CE">
        <w:rPr>
          <w:color w:val="000000"/>
          <w:lang w:bidi="pl-PL"/>
        </w:rPr>
        <w:t xml:space="preserve">ego przeznaczeniem, wzniesiony </w:t>
      </w:r>
      <w:r w:rsidR="00A82F60" w:rsidRPr="003257CE">
        <w:rPr>
          <w:color w:val="000000"/>
          <w:lang w:bidi="pl-PL"/>
        </w:rPr>
        <w:t>z użyciem wyrobów budowlanych</w:t>
      </w:r>
      <w:r w:rsidR="00A82F60" w:rsidRPr="003257CE">
        <w:t>.</w:t>
      </w:r>
    </w:p>
    <w:p w:rsidR="00437829" w:rsidRDefault="00437829" w:rsidP="00784FD9">
      <w:r w:rsidRPr="003257CE">
        <w:t xml:space="preserve">Zgodnie natomiast z art. 1a ust. 1 pkt 2 upol, budowlą jest </w:t>
      </w:r>
      <w:r w:rsidRPr="00437829">
        <w:t>obiekt budowlany w rozumieniu przepisów prawa budowlanego niebędący budynkiem lub obiektem małej architektury, a także urządzenie budowlane w rozumieniu przepisów prawa budowlanego związane z obiektem budowlanym, które zapewnia możliwość użytkowania obiektu zgodnie z jego przeznaczeniem</w:t>
      </w:r>
      <w:r>
        <w:t>.</w:t>
      </w:r>
    </w:p>
    <w:p w:rsidR="00437829" w:rsidRDefault="00437829" w:rsidP="00784FD9">
      <w:r w:rsidRPr="00437829">
        <w:t xml:space="preserve">Dokonując prawnopodatkowej kwalifikacji danego obiektu budowlanego należy w pierwszej kolejności </w:t>
      </w:r>
      <w:r>
        <w:t>rozważyć czy obiekt ten może być uznany za budynek. Wynika z tego, że zawarta w upol definicja budowli ma</w:t>
      </w:r>
      <w:r w:rsidR="003314CB">
        <w:t xml:space="preserve"> w dużej mierze</w:t>
      </w:r>
      <w:r>
        <w:t xml:space="preserve"> charakter </w:t>
      </w:r>
      <w:r w:rsidR="003314CB">
        <w:t xml:space="preserve">„dopełniający” – w zbiorze obiektów budowlanych, budowlami są te obiekty, które nie są budynkami lub obiektami małej architektury. </w:t>
      </w:r>
    </w:p>
    <w:p w:rsidR="003314CB" w:rsidRPr="00437829" w:rsidRDefault="003314CB" w:rsidP="00784FD9">
      <w:r>
        <w:t>Trybunał Konstytucyjny</w:t>
      </w:r>
      <w:r w:rsidRPr="003314CB">
        <w:t xml:space="preserve"> w wyroku z</w:t>
      </w:r>
      <w:r>
        <w:t xml:space="preserve"> dnia</w:t>
      </w:r>
      <w:r w:rsidRPr="003314CB">
        <w:t xml:space="preserve"> 13 grudnia 2017 r., sygn. akt SK 48/15 </w:t>
      </w:r>
      <w:r>
        <w:t>wyjaśnił</w:t>
      </w:r>
      <w:r w:rsidRPr="003314CB">
        <w:t xml:space="preserve">, że zarówno na gruncie prawa budowlanego, jak i ustawy o podatkach i opłatach lokalnych, żaden budynek nie może być jednocześnie budowlą, a żadna budowla nie może być jednocześnie budynkiem. Przy czym pierwszeństwo ma zawsze kwalifikacja danego obiektu jako budynku. Definicja pojęcia budowli, zawarta zarówno w prawie budowlanym, jak w ustawie o podatkach i opłatach lokalnych, przewiduje jednoznacznie, że budowlą jest obiekt budowlany nie będący budynkiem </w:t>
      </w:r>
      <w:r>
        <w:t>lub obiektem małej architektury</w:t>
      </w:r>
      <w:r w:rsidRPr="003314CB">
        <w:t>.</w:t>
      </w:r>
    </w:p>
    <w:p w:rsidR="002D43E8" w:rsidRPr="003257CE" w:rsidRDefault="003314CB" w:rsidP="00784FD9">
      <w:r w:rsidRPr="003257CE">
        <w:rPr>
          <w:color w:val="000000"/>
          <w:lang w:bidi="pl-PL"/>
        </w:rPr>
        <w:lastRenderedPageBreak/>
        <w:t>W</w:t>
      </w:r>
      <w:r w:rsidR="002D43E8" w:rsidRPr="003257CE">
        <w:rPr>
          <w:color w:val="000000"/>
          <w:lang w:bidi="pl-PL"/>
        </w:rPr>
        <w:t xml:space="preserve"> świetle definicji z </w:t>
      </w:r>
      <w:r w:rsidR="002D43E8" w:rsidRPr="003257CE">
        <w:rPr>
          <w:color w:val="000000"/>
          <w:lang w:val="en-US" w:eastAsia="en-US" w:bidi="en-US"/>
        </w:rPr>
        <w:t xml:space="preserve">art. </w:t>
      </w:r>
      <w:r w:rsidR="002173B6" w:rsidRPr="003257CE">
        <w:rPr>
          <w:color w:val="000000"/>
          <w:lang w:bidi="pl-PL"/>
        </w:rPr>
        <w:t>1 a ust. 1 pkt 1 upol</w:t>
      </w:r>
      <w:r w:rsidR="002D43E8" w:rsidRPr="003257CE">
        <w:rPr>
          <w:color w:val="000000"/>
          <w:lang w:bidi="pl-PL"/>
        </w:rPr>
        <w:t xml:space="preserve"> </w:t>
      </w:r>
      <w:r w:rsidR="002173B6" w:rsidRPr="003257CE">
        <w:rPr>
          <w:color w:val="000000"/>
          <w:lang w:bidi="pl-PL"/>
        </w:rPr>
        <w:t>w związku</w:t>
      </w:r>
      <w:r w:rsidR="002D43E8" w:rsidRPr="003257CE">
        <w:rPr>
          <w:color w:val="000000"/>
          <w:lang w:bidi="pl-PL"/>
        </w:rPr>
        <w:t xml:space="preserve"> z </w:t>
      </w:r>
      <w:r w:rsidR="002D43E8" w:rsidRPr="003257CE">
        <w:rPr>
          <w:color w:val="000000"/>
          <w:lang w:val="en-US" w:eastAsia="en-US" w:bidi="en-US"/>
        </w:rPr>
        <w:t xml:space="preserve">art. </w:t>
      </w:r>
      <w:r w:rsidR="002D43E8" w:rsidRPr="003257CE">
        <w:rPr>
          <w:color w:val="000000"/>
          <w:lang w:bidi="pl-PL"/>
        </w:rPr>
        <w:t>3 pkt 1</w:t>
      </w:r>
      <w:r w:rsidR="00437829" w:rsidRPr="003257CE">
        <w:rPr>
          <w:color w:val="000000"/>
          <w:lang w:bidi="pl-PL"/>
        </w:rPr>
        <w:t xml:space="preserve"> </w:t>
      </w:r>
      <w:r w:rsidR="00487BE7" w:rsidRPr="003257CE">
        <w:rPr>
          <w:color w:val="000000"/>
          <w:lang w:bidi="pl-PL"/>
        </w:rPr>
        <w:t>pr. bud.</w:t>
      </w:r>
      <w:r w:rsidR="002173B6" w:rsidRPr="003257CE">
        <w:rPr>
          <w:color w:val="000000"/>
          <w:lang w:bidi="pl-PL"/>
        </w:rPr>
        <w:t>,</w:t>
      </w:r>
      <w:r w:rsidR="002D43E8" w:rsidRPr="003257CE">
        <w:rPr>
          <w:color w:val="000000"/>
          <w:lang w:bidi="pl-PL"/>
        </w:rPr>
        <w:t xml:space="preserve"> przez budynek należy rozumieć obiekt</w:t>
      </w:r>
      <w:r w:rsidR="00487BE7" w:rsidRPr="003257CE">
        <w:rPr>
          <w:color w:val="000000"/>
          <w:lang w:bidi="pl-PL"/>
        </w:rPr>
        <w:t xml:space="preserve"> budowlany</w:t>
      </w:r>
      <w:r w:rsidR="002D43E8" w:rsidRPr="003257CE">
        <w:rPr>
          <w:color w:val="000000"/>
          <w:lang w:bidi="pl-PL"/>
        </w:rPr>
        <w:t xml:space="preserve"> wzniesiony z użyciem wyrobów budowlanych, który charakteryzuje się występowaniem czterech kluczowych elementów i cech konstrukcyjnych, tj.:</w:t>
      </w:r>
    </w:p>
    <w:p w:rsidR="002D43E8" w:rsidRPr="003257CE" w:rsidRDefault="002D43E8" w:rsidP="002D43E8">
      <w:pPr>
        <w:pStyle w:val="Bodytext20"/>
        <w:numPr>
          <w:ilvl w:val="0"/>
          <w:numId w:val="21"/>
        </w:numPr>
        <w:shd w:val="clear" w:color="auto" w:fill="auto"/>
        <w:tabs>
          <w:tab w:val="left" w:pos="884"/>
          <w:tab w:val="left" w:pos="8222"/>
        </w:tabs>
        <w:spacing w:line="283" w:lineRule="exact"/>
        <w:ind w:left="540"/>
        <w:rPr>
          <w:rFonts w:cs="Calibri"/>
        </w:rPr>
      </w:pPr>
      <w:r w:rsidRPr="003257CE">
        <w:rPr>
          <w:rFonts w:cs="Calibri"/>
          <w:color w:val="000000"/>
          <w:lang w:bidi="pl-PL"/>
        </w:rPr>
        <w:t>dachu,</w:t>
      </w:r>
    </w:p>
    <w:p w:rsidR="002D43E8" w:rsidRPr="003257CE" w:rsidRDefault="002D43E8" w:rsidP="002D43E8">
      <w:pPr>
        <w:pStyle w:val="Bodytext20"/>
        <w:numPr>
          <w:ilvl w:val="0"/>
          <w:numId w:val="21"/>
        </w:numPr>
        <w:shd w:val="clear" w:color="auto" w:fill="auto"/>
        <w:tabs>
          <w:tab w:val="left" w:pos="884"/>
          <w:tab w:val="left" w:pos="8222"/>
        </w:tabs>
        <w:spacing w:line="283" w:lineRule="exact"/>
        <w:ind w:left="540"/>
        <w:rPr>
          <w:rFonts w:cs="Calibri"/>
        </w:rPr>
      </w:pPr>
      <w:r w:rsidRPr="003257CE">
        <w:rPr>
          <w:rFonts w:cs="Calibri"/>
          <w:color w:val="000000"/>
          <w:lang w:bidi="pl-PL"/>
        </w:rPr>
        <w:t>fundamentów,</w:t>
      </w:r>
    </w:p>
    <w:p w:rsidR="002D43E8" w:rsidRPr="003257CE" w:rsidRDefault="002D43E8" w:rsidP="002D43E8">
      <w:pPr>
        <w:pStyle w:val="Bodytext20"/>
        <w:numPr>
          <w:ilvl w:val="0"/>
          <w:numId w:val="21"/>
        </w:numPr>
        <w:shd w:val="clear" w:color="auto" w:fill="auto"/>
        <w:tabs>
          <w:tab w:val="left" w:pos="884"/>
          <w:tab w:val="left" w:pos="8222"/>
        </w:tabs>
        <w:spacing w:line="283" w:lineRule="exact"/>
        <w:ind w:left="540"/>
        <w:rPr>
          <w:rFonts w:cs="Calibri"/>
        </w:rPr>
      </w:pPr>
      <w:r w:rsidRPr="003257CE">
        <w:rPr>
          <w:rFonts w:cs="Calibri"/>
          <w:color w:val="000000"/>
          <w:lang w:bidi="pl-PL"/>
        </w:rPr>
        <w:t>przegród budowlanych wydzielających budynek z otoczenia oraz</w:t>
      </w:r>
    </w:p>
    <w:p w:rsidR="002D43E8" w:rsidRPr="003257CE" w:rsidRDefault="002D43E8" w:rsidP="00B85220">
      <w:pPr>
        <w:pStyle w:val="Bodytext20"/>
        <w:numPr>
          <w:ilvl w:val="0"/>
          <w:numId w:val="21"/>
        </w:numPr>
        <w:shd w:val="clear" w:color="auto" w:fill="auto"/>
        <w:tabs>
          <w:tab w:val="left" w:pos="884"/>
          <w:tab w:val="left" w:pos="8222"/>
        </w:tabs>
        <w:spacing w:line="300" w:lineRule="auto"/>
        <w:ind w:left="539"/>
        <w:rPr>
          <w:rFonts w:cs="Calibri"/>
        </w:rPr>
      </w:pPr>
      <w:r w:rsidRPr="003257CE">
        <w:rPr>
          <w:rFonts w:cs="Calibri"/>
          <w:color w:val="000000"/>
          <w:lang w:bidi="pl-PL"/>
        </w:rPr>
        <w:t>trwałego połączenia z gruntem.</w:t>
      </w:r>
    </w:p>
    <w:p w:rsidR="002D43E8" w:rsidRPr="003257CE" w:rsidRDefault="002D43E8" w:rsidP="00784FD9">
      <w:r w:rsidRPr="003257CE">
        <w:rPr>
          <w:lang w:bidi="pl-PL"/>
        </w:rPr>
        <w:t xml:space="preserve">Ponadto, integralnymi częściami budynku są instalacje zapewniające możliwość </w:t>
      </w:r>
      <w:r w:rsidR="002173B6" w:rsidRPr="003257CE">
        <w:rPr>
          <w:lang w:bidi="pl-PL"/>
        </w:rPr>
        <w:t>u</w:t>
      </w:r>
      <w:r w:rsidRPr="003257CE">
        <w:rPr>
          <w:lang w:bidi="pl-PL"/>
        </w:rPr>
        <w:t xml:space="preserve">żytkowania </w:t>
      </w:r>
      <w:r w:rsidR="002173B6" w:rsidRPr="003257CE">
        <w:rPr>
          <w:lang w:bidi="pl-PL"/>
        </w:rPr>
        <w:t>b</w:t>
      </w:r>
      <w:r w:rsidRPr="003257CE">
        <w:rPr>
          <w:lang w:bidi="pl-PL"/>
        </w:rPr>
        <w:t>udynku zgodnie z jego przeznaczeniem.</w:t>
      </w:r>
    </w:p>
    <w:p w:rsidR="002D43E8" w:rsidRPr="003257CE" w:rsidRDefault="002D43E8" w:rsidP="00784FD9">
      <w:pPr>
        <w:rPr>
          <w:lang w:bidi="pl-PL"/>
        </w:rPr>
      </w:pPr>
      <w:r w:rsidRPr="003257CE">
        <w:rPr>
          <w:lang w:bidi="pl-PL"/>
        </w:rPr>
        <w:t xml:space="preserve">Jeżeli </w:t>
      </w:r>
      <w:r w:rsidR="000D190A" w:rsidRPr="003257CE">
        <w:rPr>
          <w:lang w:bidi="pl-PL"/>
        </w:rPr>
        <w:t>zatem dany</w:t>
      </w:r>
      <w:r w:rsidRPr="003257CE">
        <w:rPr>
          <w:lang w:bidi="pl-PL"/>
        </w:rPr>
        <w:t xml:space="preserve"> obiekt jest </w:t>
      </w:r>
      <w:r w:rsidR="009922CD" w:rsidRPr="003257CE">
        <w:rPr>
          <w:lang w:bidi="pl-PL"/>
        </w:rPr>
        <w:t>wzniesiony z użyciem</w:t>
      </w:r>
      <w:r w:rsidRPr="003257CE">
        <w:rPr>
          <w:lang w:bidi="pl-PL"/>
        </w:rPr>
        <w:t xml:space="preserve"> materiałów budowlanych oraz jednocześnie posiada wyliczone elementy i cechy konstrukcyjne, to jest budynkiem, o którym mowa w </w:t>
      </w:r>
      <w:r w:rsidRPr="003257CE">
        <w:rPr>
          <w:lang w:val="en-US" w:eastAsia="en-US" w:bidi="en-US"/>
        </w:rPr>
        <w:t xml:space="preserve">art. </w:t>
      </w:r>
      <w:r w:rsidR="000D190A" w:rsidRPr="003257CE">
        <w:rPr>
          <w:lang w:bidi="pl-PL"/>
        </w:rPr>
        <w:t>1 a ust. 1 pkt 1 upol, podlegającym opodatkowaniu podatkiem od nieruchomości.</w:t>
      </w:r>
    </w:p>
    <w:p w:rsidR="003314CB" w:rsidRDefault="003314CB" w:rsidP="00784FD9">
      <w:pPr>
        <w:rPr>
          <w:lang w:bidi="pl-PL"/>
        </w:rPr>
      </w:pPr>
      <w:r w:rsidRPr="003257CE">
        <w:rPr>
          <w:lang w:bidi="pl-PL"/>
        </w:rPr>
        <w:t>Wskazać również należy, że w orzecznictwie sądowadministracyjnym zwrócono uwagę, że budynek powinien posiadać jeszcze jedną cechę jaką jest powierzchnia użytkowa (zob. np. w</w:t>
      </w:r>
      <w:r w:rsidRPr="003314CB">
        <w:rPr>
          <w:lang w:bidi="pl-PL"/>
        </w:rPr>
        <w:t>yrok</w:t>
      </w:r>
      <w:r>
        <w:rPr>
          <w:lang w:bidi="pl-PL"/>
        </w:rPr>
        <w:t xml:space="preserve"> </w:t>
      </w:r>
      <w:r w:rsidRPr="003314CB">
        <w:rPr>
          <w:lang w:bidi="pl-PL"/>
        </w:rPr>
        <w:t>Naczelnego Sądu Administracyjnego</w:t>
      </w:r>
      <w:r>
        <w:rPr>
          <w:lang w:bidi="pl-PL"/>
        </w:rPr>
        <w:t xml:space="preserve"> </w:t>
      </w:r>
      <w:r w:rsidRPr="003314CB">
        <w:rPr>
          <w:lang w:bidi="pl-PL"/>
        </w:rPr>
        <w:t>z dnia 8 lutego 2022 r.</w:t>
      </w:r>
      <w:r>
        <w:rPr>
          <w:lang w:bidi="pl-PL"/>
        </w:rPr>
        <w:t xml:space="preserve">, sygn. akt </w:t>
      </w:r>
      <w:r w:rsidRPr="003314CB">
        <w:rPr>
          <w:lang w:bidi="pl-PL"/>
        </w:rPr>
        <w:t>III FSK 1560/21</w:t>
      </w:r>
      <w:r>
        <w:rPr>
          <w:lang w:bidi="pl-PL"/>
        </w:rPr>
        <w:t>).</w:t>
      </w:r>
    </w:p>
    <w:p w:rsidR="003314CB" w:rsidRDefault="003314CB" w:rsidP="00784FD9">
      <w:pPr>
        <w:rPr>
          <w:lang w:bidi="pl-PL"/>
        </w:rPr>
      </w:pPr>
      <w:r>
        <w:rPr>
          <w:lang w:bidi="pl-PL"/>
        </w:rPr>
        <w:t>Cecha ta pozwala na prawnopodatkową kwalifikację danego obiektu budowalnego, jeżeli ma on jednocześnie cechy budynku, jak i budowli.</w:t>
      </w:r>
    </w:p>
    <w:p w:rsidR="00B60E8E" w:rsidRDefault="00B60E8E" w:rsidP="00784FD9">
      <w:pPr>
        <w:rPr>
          <w:lang w:bidi="pl-PL"/>
        </w:rPr>
      </w:pPr>
      <w:r>
        <w:rPr>
          <w:lang w:bidi="pl-PL"/>
        </w:rPr>
        <w:t>W załączniku do pr. bud. w kategorii XXX obiektów budowlanych wymienia się m.in. pompownie.</w:t>
      </w:r>
    </w:p>
    <w:p w:rsidR="009922CD" w:rsidRPr="003314CB" w:rsidRDefault="00B60E8E" w:rsidP="00784FD9">
      <w:pPr>
        <w:rPr>
          <w:lang w:bidi="pl-PL"/>
        </w:rPr>
      </w:pPr>
      <w:r>
        <w:rPr>
          <w:lang w:bidi="pl-PL"/>
        </w:rPr>
        <w:t>Niemniej jednak, w ocenie Prezydenta m.st. Warszawy</w:t>
      </w:r>
      <w:r w:rsidR="0026681F">
        <w:rPr>
          <w:lang w:bidi="pl-PL"/>
        </w:rPr>
        <w:t>,</w:t>
      </w:r>
      <w:r>
        <w:rPr>
          <w:lang w:bidi="pl-PL"/>
        </w:rPr>
        <w:t xml:space="preserve"> kształt</w:t>
      </w:r>
      <w:r w:rsidR="0026681F">
        <w:rPr>
          <w:lang w:bidi="pl-PL"/>
        </w:rPr>
        <w:t xml:space="preserve"> obiekt</w:t>
      </w:r>
      <w:r>
        <w:rPr>
          <w:lang w:bidi="pl-PL"/>
        </w:rPr>
        <w:t>u</w:t>
      </w:r>
      <w:r w:rsidR="0026681F">
        <w:rPr>
          <w:lang w:bidi="pl-PL"/>
        </w:rPr>
        <w:t xml:space="preserve"> </w:t>
      </w:r>
      <w:r>
        <w:rPr>
          <w:lang w:bidi="pl-PL"/>
        </w:rPr>
        <w:t>będącego</w:t>
      </w:r>
      <w:r w:rsidR="0026681F">
        <w:rPr>
          <w:lang w:bidi="pl-PL"/>
        </w:rPr>
        <w:t xml:space="preserve"> przedmiotem niniejszej interpretacji pozwala stwierdzić, że posiada on dodatkową cechę szczególną jaką jest powierzchnia użytkowa.</w:t>
      </w:r>
    </w:p>
    <w:p w:rsidR="00B60E8E" w:rsidRPr="00BE0FD7" w:rsidRDefault="000D190A" w:rsidP="00784FD9">
      <w:pPr>
        <w:rPr>
          <w:lang w:bidi="pl-PL"/>
        </w:rPr>
      </w:pPr>
      <w:r w:rsidRPr="003257CE">
        <w:rPr>
          <w:lang w:bidi="pl-PL"/>
        </w:rPr>
        <w:t xml:space="preserve">Ze stanu faktycznego opisanego we wniosku wynika, iż obiekt budowlany będący przedmiotem wniosku, </w:t>
      </w:r>
      <w:r w:rsidRPr="00BE0FD7">
        <w:rPr>
          <w:lang w:bidi="pl-PL"/>
        </w:rPr>
        <w:t xml:space="preserve">„(…) to jednokondygnacyjny, murowany obiekt nadziemny. Posiada jednospadowy dach, cztery ściany, fundamenty </w:t>
      </w:r>
      <w:r w:rsidR="007A3D28" w:rsidRPr="00BE0FD7">
        <w:rPr>
          <w:lang w:bidi="pl-PL"/>
        </w:rPr>
        <w:t>w postaci betonowych, zbrojonych ław fundamentowych oraz jest trwale połączona z gruntem (…)”.</w:t>
      </w:r>
    </w:p>
    <w:p w:rsidR="000D190A" w:rsidRPr="00784FD9" w:rsidRDefault="007A3D28" w:rsidP="00784FD9">
      <w:r w:rsidRPr="003257CE">
        <w:rPr>
          <w:lang w:bidi="pl-PL"/>
        </w:rPr>
        <w:t xml:space="preserve">Zatem w świetle powyższego oraz przytoczonych powyżej przepisów upol oraz </w:t>
      </w:r>
      <w:r w:rsidR="009922CD" w:rsidRPr="003257CE">
        <w:rPr>
          <w:lang w:bidi="pl-PL"/>
        </w:rPr>
        <w:t>pr. bud.</w:t>
      </w:r>
      <w:r w:rsidRPr="003257CE">
        <w:rPr>
          <w:lang w:bidi="pl-PL"/>
        </w:rPr>
        <w:t>, opisany we</w:t>
      </w:r>
      <w:r w:rsidR="00784FD9">
        <w:rPr>
          <w:lang w:bidi="pl-PL"/>
        </w:rPr>
        <w:t> </w:t>
      </w:r>
      <w:r w:rsidRPr="003257CE">
        <w:rPr>
          <w:lang w:bidi="pl-PL"/>
        </w:rPr>
        <w:t xml:space="preserve">wniosku obiekt budowlany będzie budynkiem o którym mowa w </w:t>
      </w:r>
      <w:r w:rsidRPr="003257CE">
        <w:rPr>
          <w:lang w:val="en-US" w:eastAsia="en-US" w:bidi="en-US"/>
        </w:rPr>
        <w:t xml:space="preserve">art. </w:t>
      </w:r>
      <w:r w:rsidRPr="003257CE">
        <w:rPr>
          <w:lang w:bidi="pl-PL"/>
        </w:rPr>
        <w:t xml:space="preserve">1 a ust. 1 pkt 1 </w:t>
      </w:r>
      <w:proofErr w:type="spellStart"/>
      <w:r w:rsidRPr="003257CE">
        <w:rPr>
          <w:lang w:bidi="pl-PL"/>
        </w:rPr>
        <w:t>upol</w:t>
      </w:r>
      <w:proofErr w:type="spellEnd"/>
      <w:r w:rsidRPr="003257CE">
        <w:rPr>
          <w:lang w:bidi="pl-PL"/>
        </w:rPr>
        <w:t>.</w:t>
      </w:r>
    </w:p>
    <w:p w:rsidR="00672B17" w:rsidRPr="003257CE" w:rsidRDefault="007A3D28" w:rsidP="00784FD9">
      <w:pPr>
        <w:rPr>
          <w:rStyle w:val="act"/>
          <w:rFonts w:cs="Calibri"/>
          <w:color w:val="212529"/>
          <w:szCs w:val="22"/>
          <w:shd w:val="clear" w:color="auto" w:fill="FFFFFF"/>
        </w:rPr>
      </w:pPr>
      <w:r w:rsidRPr="003257CE">
        <w:rPr>
          <w:rStyle w:val="act"/>
          <w:rFonts w:cs="Calibri"/>
          <w:color w:val="212529"/>
          <w:szCs w:val="22"/>
          <w:shd w:val="clear" w:color="auto" w:fill="FFFFFF"/>
        </w:rPr>
        <w:t>Tym</w:t>
      </w:r>
      <w:r w:rsidR="00672B17" w:rsidRPr="003257CE">
        <w:rPr>
          <w:rStyle w:val="act"/>
          <w:rFonts w:cs="Calibri"/>
          <w:color w:val="212529"/>
          <w:szCs w:val="22"/>
          <w:shd w:val="clear" w:color="auto" w:fill="FFFFFF"/>
        </w:rPr>
        <w:t xml:space="preserve"> </w:t>
      </w:r>
      <w:r w:rsidRPr="003257CE">
        <w:rPr>
          <w:rStyle w:val="act"/>
          <w:rFonts w:cs="Calibri"/>
          <w:color w:val="212529"/>
          <w:szCs w:val="22"/>
          <w:shd w:val="clear" w:color="auto" w:fill="FFFFFF"/>
        </w:rPr>
        <w:t xml:space="preserve">samym </w:t>
      </w:r>
      <w:r w:rsidR="00672B17" w:rsidRPr="003257CE">
        <w:rPr>
          <w:rStyle w:val="act"/>
          <w:rFonts w:cs="Calibri"/>
          <w:color w:val="212529"/>
          <w:szCs w:val="22"/>
          <w:shd w:val="clear" w:color="auto" w:fill="FFFFFF"/>
        </w:rPr>
        <w:t>stanowisk</w:t>
      </w:r>
      <w:r w:rsidRPr="003257CE">
        <w:rPr>
          <w:rStyle w:val="act"/>
          <w:rFonts w:cs="Calibri"/>
          <w:color w:val="212529"/>
          <w:szCs w:val="22"/>
          <w:shd w:val="clear" w:color="auto" w:fill="FFFFFF"/>
        </w:rPr>
        <w:t>o</w:t>
      </w:r>
      <w:r w:rsidR="00957BD3" w:rsidRPr="003257CE">
        <w:rPr>
          <w:rStyle w:val="act"/>
          <w:rFonts w:cs="Calibri"/>
          <w:color w:val="212529"/>
          <w:szCs w:val="22"/>
          <w:shd w:val="clear" w:color="auto" w:fill="FFFFFF"/>
        </w:rPr>
        <w:t xml:space="preserve"> Wnioskodawcy uznać należy za prawidłowe w obowiązujących stanie prawnym.</w:t>
      </w:r>
    </w:p>
    <w:p w:rsidR="00077D21" w:rsidRPr="003257CE" w:rsidRDefault="00077D21" w:rsidP="00784FD9">
      <w:pPr>
        <w:pStyle w:val="Nagwek1"/>
      </w:pPr>
      <w:r w:rsidRPr="003257CE">
        <w:lastRenderedPageBreak/>
        <w:t>Pouczenie</w:t>
      </w:r>
    </w:p>
    <w:p w:rsidR="00077D21" w:rsidRPr="003257CE" w:rsidRDefault="006D58C4" w:rsidP="00784FD9">
      <w:pPr>
        <w:rPr>
          <w:rFonts w:cs="Calibri"/>
          <w:szCs w:val="22"/>
        </w:rPr>
      </w:pPr>
      <w:r w:rsidRPr="003257CE">
        <w:rPr>
          <w:rFonts w:cs="Calibri"/>
          <w:szCs w:val="22"/>
        </w:rPr>
        <w:t>Wnioskodawcy przysługuje prawo do wniesienia skargi na niniejszą interpretację przepisów prawa podatkowego. Skargę wnosi się do Wojewódzkiego Sądu Administracyjnego w Warszawie w terminie 30 dni od dnia doręczenia interpretacji przepisów prawa podatkowego (art. 53 § 1 ustawy z dnia 30</w:t>
      </w:r>
      <w:r w:rsidR="00784FD9">
        <w:rPr>
          <w:rFonts w:cs="Calibri"/>
          <w:szCs w:val="22"/>
        </w:rPr>
        <w:t> </w:t>
      </w:r>
      <w:r w:rsidRPr="003257CE">
        <w:rPr>
          <w:rFonts w:cs="Calibri"/>
          <w:szCs w:val="22"/>
        </w:rPr>
        <w:t xml:space="preserve"> sierpnia 2002 r. – Prawo o postępowaniu przed sądami administracyjnymi – Dz. U. z 20</w:t>
      </w:r>
      <w:r w:rsidR="00957BD3" w:rsidRPr="003257CE">
        <w:rPr>
          <w:rFonts w:cs="Calibri"/>
          <w:szCs w:val="22"/>
        </w:rPr>
        <w:t>22</w:t>
      </w:r>
      <w:r w:rsidRPr="003257CE">
        <w:rPr>
          <w:rFonts w:cs="Calibri"/>
          <w:szCs w:val="22"/>
        </w:rPr>
        <w:t xml:space="preserve"> r. poz. </w:t>
      </w:r>
      <w:r w:rsidR="001F27B9" w:rsidRPr="003257CE">
        <w:rPr>
          <w:rFonts w:cs="Calibri"/>
          <w:szCs w:val="22"/>
        </w:rPr>
        <w:t>329</w:t>
      </w:r>
      <w:r w:rsidR="00957BD3" w:rsidRPr="003257CE">
        <w:rPr>
          <w:rFonts w:cs="Calibri"/>
          <w:szCs w:val="22"/>
        </w:rPr>
        <w:t xml:space="preserve"> ze zm.</w:t>
      </w:r>
      <w:r w:rsidRPr="003257CE">
        <w:rPr>
          <w:rFonts w:cs="Calibri"/>
          <w:szCs w:val="22"/>
        </w:rPr>
        <w:t>). Skargę wnosi się za pośrednictwem Prezydenta m.st. Warszawy – Centrum Obsługi Podatnika, ul. Obozowa 57, 01-161 Warszawa (adres do korespondencji: Al. Jerozolimskie 44, 00-024 Warszawa).</w:t>
      </w:r>
    </w:p>
    <w:sectPr w:rsidR="00077D21" w:rsidRPr="003257CE" w:rsidSect="00DA7EB4">
      <w:footerReference w:type="even" r:id="rId9"/>
      <w:footerReference w:type="default" r:id="rId10"/>
      <w:pgSz w:w="11906" w:h="16838"/>
      <w:pgMar w:top="1417" w:right="1417" w:bottom="1417" w:left="1417" w:header="708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F6E" w:rsidRDefault="009D3F6E" w:rsidP="000B5F7B">
      <w:r>
        <w:separator/>
      </w:r>
    </w:p>
  </w:endnote>
  <w:endnote w:type="continuationSeparator" w:id="0">
    <w:p w:rsidR="009D3F6E" w:rsidRDefault="009D3F6E" w:rsidP="000B5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433" w:rsidRDefault="00080433" w:rsidP="003A30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80433" w:rsidRDefault="00080433" w:rsidP="00FA652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433" w:rsidRPr="00784FD9" w:rsidRDefault="00080433" w:rsidP="008A79B3">
    <w:pPr>
      <w:pStyle w:val="Teksttreci30"/>
      <w:pBdr>
        <w:top w:val="single" w:sz="4" w:space="1" w:color="auto"/>
      </w:pBdr>
      <w:shd w:val="clear" w:color="auto" w:fill="auto"/>
      <w:spacing w:before="0"/>
      <w:ind w:left="140"/>
      <w:rPr>
        <w:rFonts w:asciiTheme="minorHAnsi" w:hAnsiTheme="minorHAnsi" w:cstheme="minorHAnsi"/>
        <w:sz w:val="22"/>
        <w:szCs w:val="22"/>
      </w:rPr>
    </w:pPr>
    <w:r w:rsidRPr="00784FD9">
      <w:rPr>
        <w:rFonts w:asciiTheme="minorHAnsi" w:hAnsiTheme="minorHAnsi" w:cstheme="minorHAnsi"/>
        <w:sz w:val="22"/>
        <w:szCs w:val="22"/>
      </w:rPr>
      <w:t>Urząd m.st. Warszawy - Centrum Obsługi Podatnika</w:t>
    </w:r>
  </w:p>
  <w:p w:rsidR="00080433" w:rsidRPr="00784FD9" w:rsidRDefault="00080433" w:rsidP="008A79B3">
    <w:pPr>
      <w:pStyle w:val="Teksttreci30"/>
      <w:pBdr>
        <w:top w:val="single" w:sz="4" w:space="1" w:color="auto"/>
      </w:pBdr>
      <w:shd w:val="clear" w:color="auto" w:fill="auto"/>
      <w:spacing w:before="0"/>
      <w:ind w:left="140"/>
      <w:rPr>
        <w:rFonts w:asciiTheme="minorHAnsi" w:hAnsiTheme="minorHAnsi" w:cstheme="minorHAnsi"/>
        <w:sz w:val="22"/>
        <w:szCs w:val="22"/>
      </w:rPr>
    </w:pPr>
    <w:r w:rsidRPr="00784FD9">
      <w:rPr>
        <w:rFonts w:asciiTheme="minorHAnsi" w:hAnsiTheme="minorHAnsi" w:cstheme="minorHAnsi"/>
        <w:sz w:val="22"/>
        <w:szCs w:val="22"/>
      </w:rPr>
      <w:t xml:space="preserve"> ul. Obozowa 57, 01-161 Warszawa </w:t>
    </w:r>
  </w:p>
  <w:p w:rsidR="00080433" w:rsidRPr="00784FD9" w:rsidRDefault="00080433" w:rsidP="008A79B3">
    <w:pPr>
      <w:pStyle w:val="Teksttreci30"/>
      <w:pBdr>
        <w:top w:val="single" w:sz="4" w:space="1" w:color="auto"/>
      </w:pBdr>
      <w:shd w:val="clear" w:color="auto" w:fill="auto"/>
      <w:spacing w:before="0"/>
      <w:ind w:left="140"/>
      <w:rPr>
        <w:rFonts w:asciiTheme="minorHAnsi" w:hAnsiTheme="minorHAnsi" w:cstheme="minorHAnsi"/>
        <w:sz w:val="22"/>
        <w:szCs w:val="22"/>
      </w:rPr>
    </w:pPr>
    <w:r w:rsidRPr="00784FD9">
      <w:rPr>
        <w:rFonts w:asciiTheme="minorHAnsi" w:hAnsiTheme="minorHAnsi" w:cstheme="minorHAnsi"/>
        <w:sz w:val="22"/>
        <w:szCs w:val="22"/>
      </w:rPr>
      <w:t>tel. +48224430962</w:t>
    </w:r>
  </w:p>
  <w:p w:rsidR="00080433" w:rsidRDefault="00080433" w:rsidP="00784FD9">
    <w:pPr>
      <w:pStyle w:val="Teksttreci30"/>
      <w:pBdr>
        <w:top w:val="single" w:sz="4" w:space="1" w:color="auto"/>
      </w:pBdr>
      <w:shd w:val="clear" w:color="auto" w:fill="auto"/>
      <w:spacing w:before="0"/>
      <w:ind w:left="140"/>
    </w:pPr>
    <w:r w:rsidRPr="00784FD9">
      <w:rPr>
        <w:rFonts w:asciiTheme="minorHAnsi" w:hAnsiTheme="minorHAnsi" w:cstheme="minorHAnsi"/>
        <w:b w:val="0"/>
        <w:bCs w:val="0"/>
        <w:sz w:val="22"/>
        <w:szCs w:val="22"/>
      </w:rPr>
      <w:fldChar w:fldCharType="begin"/>
    </w:r>
    <w:r w:rsidRPr="00784FD9">
      <w:rPr>
        <w:rFonts w:asciiTheme="minorHAnsi" w:hAnsiTheme="minorHAnsi" w:cstheme="minorHAnsi"/>
        <w:sz w:val="22"/>
        <w:szCs w:val="22"/>
      </w:rPr>
      <w:instrText>PAGE  \* Arabic  \* MERGEFORMAT</w:instrText>
    </w:r>
    <w:r w:rsidRPr="00784FD9">
      <w:rPr>
        <w:rFonts w:asciiTheme="minorHAnsi" w:hAnsiTheme="minorHAnsi" w:cstheme="minorHAnsi"/>
        <w:b w:val="0"/>
        <w:bCs w:val="0"/>
        <w:sz w:val="22"/>
        <w:szCs w:val="22"/>
      </w:rPr>
      <w:fldChar w:fldCharType="separate"/>
    </w:r>
    <w:r w:rsidR="00303A6A">
      <w:rPr>
        <w:rFonts w:asciiTheme="minorHAnsi" w:hAnsiTheme="minorHAnsi" w:cstheme="minorHAnsi"/>
        <w:noProof/>
        <w:sz w:val="22"/>
        <w:szCs w:val="22"/>
      </w:rPr>
      <w:t>6</w:t>
    </w:r>
    <w:r w:rsidRPr="00784FD9">
      <w:rPr>
        <w:rFonts w:asciiTheme="minorHAnsi" w:hAnsiTheme="minorHAnsi" w:cstheme="minorHAnsi"/>
        <w:b w:val="0"/>
        <w:bCs w:val="0"/>
        <w:sz w:val="22"/>
        <w:szCs w:val="22"/>
      </w:rPr>
      <w:fldChar w:fldCharType="end"/>
    </w:r>
    <w:r w:rsidRPr="00784FD9">
      <w:rPr>
        <w:rFonts w:asciiTheme="minorHAnsi" w:hAnsiTheme="minorHAnsi" w:cstheme="minorHAnsi"/>
        <w:sz w:val="22"/>
        <w:szCs w:val="22"/>
      </w:rPr>
      <w:t xml:space="preserve"> z </w:t>
    </w:r>
    <w:r w:rsidR="00BE0FD7" w:rsidRPr="00784FD9">
      <w:rPr>
        <w:rFonts w:asciiTheme="minorHAnsi" w:hAnsiTheme="minorHAnsi" w:cstheme="minorHAnsi"/>
        <w:sz w:val="22"/>
        <w:szCs w:val="22"/>
      </w:rPr>
      <w:fldChar w:fldCharType="begin"/>
    </w:r>
    <w:r w:rsidR="00BE0FD7" w:rsidRPr="00784FD9">
      <w:rPr>
        <w:rFonts w:asciiTheme="minorHAnsi" w:hAnsiTheme="minorHAnsi" w:cstheme="minorHAnsi"/>
        <w:sz w:val="22"/>
        <w:szCs w:val="22"/>
      </w:rPr>
      <w:instrText>NUMPAGES  \* Arabic  \* MERGEFORMAT</w:instrText>
    </w:r>
    <w:r w:rsidR="00BE0FD7" w:rsidRPr="00784FD9">
      <w:rPr>
        <w:rFonts w:asciiTheme="minorHAnsi" w:hAnsiTheme="minorHAnsi" w:cstheme="minorHAnsi"/>
        <w:sz w:val="22"/>
        <w:szCs w:val="22"/>
      </w:rPr>
      <w:fldChar w:fldCharType="separate"/>
    </w:r>
    <w:r w:rsidR="00303A6A">
      <w:rPr>
        <w:rFonts w:asciiTheme="minorHAnsi" w:hAnsiTheme="minorHAnsi" w:cstheme="minorHAnsi"/>
        <w:noProof/>
        <w:sz w:val="22"/>
        <w:szCs w:val="22"/>
      </w:rPr>
      <w:t>6</w:t>
    </w:r>
    <w:r w:rsidR="00BE0FD7" w:rsidRPr="00784FD9">
      <w:rPr>
        <w:rFonts w:asciiTheme="minorHAnsi" w:hAnsiTheme="minorHAnsi" w:cstheme="minorHAnsi"/>
        <w:noProof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F6E" w:rsidRDefault="009D3F6E" w:rsidP="000B5F7B">
      <w:r>
        <w:separator/>
      </w:r>
    </w:p>
  </w:footnote>
  <w:footnote w:type="continuationSeparator" w:id="0">
    <w:p w:rsidR="009D3F6E" w:rsidRDefault="009D3F6E" w:rsidP="000B5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719FB"/>
    <w:multiLevelType w:val="multilevel"/>
    <w:tmpl w:val="8F8A0778"/>
    <w:lvl w:ilvl="0">
      <w:start w:val="1"/>
      <w:numFmt w:val="decimal"/>
      <w:lvlText w:val="%1)"/>
      <w:lvlJc w:val="left"/>
      <w:rPr>
        <w:rFonts w:ascii="Calibri" w:eastAsia="Arial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4E305E"/>
    <w:multiLevelType w:val="hybridMultilevel"/>
    <w:tmpl w:val="32683D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95235"/>
    <w:multiLevelType w:val="hybridMultilevel"/>
    <w:tmpl w:val="99967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4C3F57"/>
    <w:multiLevelType w:val="hybridMultilevel"/>
    <w:tmpl w:val="66E250B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A7DA6"/>
    <w:multiLevelType w:val="multilevel"/>
    <w:tmpl w:val="2DBCD828"/>
    <w:lvl w:ilvl="0">
      <w:start w:val="1"/>
      <w:numFmt w:val="decimal"/>
      <w:lvlText w:val="%1)"/>
      <w:lvlJc w:val="left"/>
      <w:rPr>
        <w:rFonts w:ascii="Calibri" w:eastAsia="Arial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36E7E72"/>
    <w:multiLevelType w:val="hybridMultilevel"/>
    <w:tmpl w:val="7F04368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62479D"/>
    <w:multiLevelType w:val="multilevel"/>
    <w:tmpl w:val="1CC89D40"/>
    <w:lvl w:ilvl="0">
      <w:start w:val="1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955077"/>
    <w:multiLevelType w:val="hybridMultilevel"/>
    <w:tmpl w:val="28FE2284"/>
    <w:lvl w:ilvl="0" w:tplc="C1D6A256">
      <w:start w:val="2"/>
      <w:numFmt w:val="decimal"/>
      <w:lvlText w:val="%1."/>
      <w:lvlJc w:val="left"/>
      <w:pPr>
        <w:ind w:left="110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20" w:hanging="360"/>
      </w:pPr>
    </w:lvl>
    <w:lvl w:ilvl="2" w:tplc="0415001B" w:tentative="1">
      <w:start w:val="1"/>
      <w:numFmt w:val="lowerRoman"/>
      <w:lvlText w:val="%3."/>
      <w:lvlJc w:val="right"/>
      <w:pPr>
        <w:ind w:left="2540" w:hanging="180"/>
      </w:pPr>
    </w:lvl>
    <w:lvl w:ilvl="3" w:tplc="0415000F" w:tentative="1">
      <w:start w:val="1"/>
      <w:numFmt w:val="decimal"/>
      <w:lvlText w:val="%4."/>
      <w:lvlJc w:val="left"/>
      <w:pPr>
        <w:ind w:left="3260" w:hanging="360"/>
      </w:pPr>
    </w:lvl>
    <w:lvl w:ilvl="4" w:tplc="04150019" w:tentative="1">
      <w:start w:val="1"/>
      <w:numFmt w:val="lowerLetter"/>
      <w:lvlText w:val="%5."/>
      <w:lvlJc w:val="left"/>
      <w:pPr>
        <w:ind w:left="3980" w:hanging="360"/>
      </w:pPr>
    </w:lvl>
    <w:lvl w:ilvl="5" w:tplc="0415001B" w:tentative="1">
      <w:start w:val="1"/>
      <w:numFmt w:val="lowerRoman"/>
      <w:lvlText w:val="%6."/>
      <w:lvlJc w:val="right"/>
      <w:pPr>
        <w:ind w:left="4700" w:hanging="180"/>
      </w:pPr>
    </w:lvl>
    <w:lvl w:ilvl="6" w:tplc="0415000F" w:tentative="1">
      <w:start w:val="1"/>
      <w:numFmt w:val="decimal"/>
      <w:lvlText w:val="%7."/>
      <w:lvlJc w:val="left"/>
      <w:pPr>
        <w:ind w:left="5420" w:hanging="360"/>
      </w:pPr>
    </w:lvl>
    <w:lvl w:ilvl="7" w:tplc="04150019" w:tentative="1">
      <w:start w:val="1"/>
      <w:numFmt w:val="lowerLetter"/>
      <w:lvlText w:val="%8."/>
      <w:lvlJc w:val="left"/>
      <w:pPr>
        <w:ind w:left="6140" w:hanging="360"/>
      </w:pPr>
    </w:lvl>
    <w:lvl w:ilvl="8" w:tplc="041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8" w15:restartNumberingAfterBreak="0">
    <w:nsid w:val="2CBB499A"/>
    <w:multiLevelType w:val="hybridMultilevel"/>
    <w:tmpl w:val="2116CD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C6C62"/>
    <w:multiLevelType w:val="hybridMultilevel"/>
    <w:tmpl w:val="DE8C58E6"/>
    <w:lvl w:ilvl="0" w:tplc="D172BC42">
      <w:numFmt w:val="bullet"/>
      <w:lvlText w:val="•"/>
      <w:lvlJc w:val="left"/>
      <w:pPr>
        <w:ind w:left="78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9E126C1"/>
    <w:multiLevelType w:val="hybridMultilevel"/>
    <w:tmpl w:val="E92002CC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3A62748A"/>
    <w:multiLevelType w:val="hybridMultilevel"/>
    <w:tmpl w:val="5C2A48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B15AA9"/>
    <w:multiLevelType w:val="multilevel"/>
    <w:tmpl w:val="C31EEB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C373B2"/>
    <w:multiLevelType w:val="hybridMultilevel"/>
    <w:tmpl w:val="2AD69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C007D3"/>
    <w:multiLevelType w:val="hybridMultilevel"/>
    <w:tmpl w:val="6BD2BA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6879A3"/>
    <w:multiLevelType w:val="hybridMultilevel"/>
    <w:tmpl w:val="10525D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761748"/>
    <w:multiLevelType w:val="hybridMultilevel"/>
    <w:tmpl w:val="C5FCED9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61FF47F2"/>
    <w:multiLevelType w:val="hybridMultilevel"/>
    <w:tmpl w:val="437EA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05CF5"/>
    <w:multiLevelType w:val="hybridMultilevel"/>
    <w:tmpl w:val="8F22A6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A5E56"/>
    <w:multiLevelType w:val="hybridMultilevel"/>
    <w:tmpl w:val="8F22A6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4FF5441"/>
    <w:multiLevelType w:val="multilevel"/>
    <w:tmpl w:val="13EA534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88926F5"/>
    <w:multiLevelType w:val="hybridMultilevel"/>
    <w:tmpl w:val="6B6C90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18418F"/>
    <w:multiLevelType w:val="hybridMultilevel"/>
    <w:tmpl w:val="B55649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4545D7"/>
    <w:multiLevelType w:val="hybridMultilevel"/>
    <w:tmpl w:val="36B063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13"/>
  </w:num>
  <w:num w:numId="5">
    <w:abstractNumId w:val="11"/>
  </w:num>
  <w:num w:numId="6">
    <w:abstractNumId w:val="10"/>
  </w:num>
  <w:num w:numId="7">
    <w:abstractNumId w:val="1"/>
  </w:num>
  <w:num w:numId="8">
    <w:abstractNumId w:val="12"/>
  </w:num>
  <w:num w:numId="9">
    <w:abstractNumId w:val="7"/>
  </w:num>
  <w:num w:numId="10">
    <w:abstractNumId w:val="20"/>
  </w:num>
  <w:num w:numId="11">
    <w:abstractNumId w:val="5"/>
  </w:num>
  <w:num w:numId="12">
    <w:abstractNumId w:val="15"/>
  </w:num>
  <w:num w:numId="13">
    <w:abstractNumId w:val="19"/>
  </w:num>
  <w:num w:numId="14">
    <w:abstractNumId w:val="17"/>
  </w:num>
  <w:num w:numId="15">
    <w:abstractNumId w:val="23"/>
  </w:num>
  <w:num w:numId="16">
    <w:abstractNumId w:val="22"/>
  </w:num>
  <w:num w:numId="17">
    <w:abstractNumId w:val="18"/>
  </w:num>
  <w:num w:numId="18">
    <w:abstractNumId w:val="21"/>
  </w:num>
  <w:num w:numId="19">
    <w:abstractNumId w:val="6"/>
  </w:num>
  <w:num w:numId="20">
    <w:abstractNumId w:val="0"/>
  </w:num>
  <w:num w:numId="21">
    <w:abstractNumId w:val="4"/>
  </w:num>
  <w:num w:numId="22">
    <w:abstractNumId w:val="16"/>
  </w:num>
  <w:num w:numId="23">
    <w:abstractNumId w:val="9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224"/>
    <w:rsid w:val="00002690"/>
    <w:rsid w:val="00002E42"/>
    <w:rsid w:val="00005294"/>
    <w:rsid w:val="000076C6"/>
    <w:rsid w:val="0000793D"/>
    <w:rsid w:val="00015B6D"/>
    <w:rsid w:val="00017F2C"/>
    <w:rsid w:val="0002147E"/>
    <w:rsid w:val="00042D74"/>
    <w:rsid w:val="00052ECF"/>
    <w:rsid w:val="00054F02"/>
    <w:rsid w:val="000572AD"/>
    <w:rsid w:val="0006741A"/>
    <w:rsid w:val="0007193E"/>
    <w:rsid w:val="00071D97"/>
    <w:rsid w:val="00072F0C"/>
    <w:rsid w:val="000759B3"/>
    <w:rsid w:val="00077D21"/>
    <w:rsid w:val="00077F2D"/>
    <w:rsid w:val="00080433"/>
    <w:rsid w:val="000819EF"/>
    <w:rsid w:val="00082D69"/>
    <w:rsid w:val="00097364"/>
    <w:rsid w:val="000974BD"/>
    <w:rsid w:val="000A30F5"/>
    <w:rsid w:val="000A6723"/>
    <w:rsid w:val="000B445A"/>
    <w:rsid w:val="000B5F7B"/>
    <w:rsid w:val="000C2BAB"/>
    <w:rsid w:val="000C65D7"/>
    <w:rsid w:val="000D190A"/>
    <w:rsid w:val="000D321B"/>
    <w:rsid w:val="000D5781"/>
    <w:rsid w:val="000D5F43"/>
    <w:rsid w:val="000E18C5"/>
    <w:rsid w:val="000E29FF"/>
    <w:rsid w:val="000E50A4"/>
    <w:rsid w:val="000F11AF"/>
    <w:rsid w:val="001033DB"/>
    <w:rsid w:val="00107FE2"/>
    <w:rsid w:val="00114D2F"/>
    <w:rsid w:val="00114FA7"/>
    <w:rsid w:val="00117618"/>
    <w:rsid w:val="0012043D"/>
    <w:rsid w:val="001218F6"/>
    <w:rsid w:val="00127DC0"/>
    <w:rsid w:val="00132892"/>
    <w:rsid w:val="00136893"/>
    <w:rsid w:val="00137149"/>
    <w:rsid w:val="00143CDB"/>
    <w:rsid w:val="00146995"/>
    <w:rsid w:val="0016143A"/>
    <w:rsid w:val="0016191E"/>
    <w:rsid w:val="0016354E"/>
    <w:rsid w:val="00170451"/>
    <w:rsid w:val="00174203"/>
    <w:rsid w:val="001746E6"/>
    <w:rsid w:val="001821B4"/>
    <w:rsid w:val="0018321B"/>
    <w:rsid w:val="001872C1"/>
    <w:rsid w:val="0018759B"/>
    <w:rsid w:val="00194841"/>
    <w:rsid w:val="00196898"/>
    <w:rsid w:val="001A7656"/>
    <w:rsid w:val="001B1DC8"/>
    <w:rsid w:val="001B710B"/>
    <w:rsid w:val="001D12C2"/>
    <w:rsid w:val="001D3798"/>
    <w:rsid w:val="001E0135"/>
    <w:rsid w:val="001E212E"/>
    <w:rsid w:val="001F27B9"/>
    <w:rsid w:val="001F3658"/>
    <w:rsid w:val="002059C4"/>
    <w:rsid w:val="00206ED3"/>
    <w:rsid w:val="002173B6"/>
    <w:rsid w:val="00250753"/>
    <w:rsid w:val="00262BC2"/>
    <w:rsid w:val="00264FA6"/>
    <w:rsid w:val="0026681F"/>
    <w:rsid w:val="0029658B"/>
    <w:rsid w:val="002965E0"/>
    <w:rsid w:val="002B46AD"/>
    <w:rsid w:val="002D2B2B"/>
    <w:rsid w:val="002D2B82"/>
    <w:rsid w:val="002D43E8"/>
    <w:rsid w:val="002D4814"/>
    <w:rsid w:val="002D680B"/>
    <w:rsid w:val="002E077A"/>
    <w:rsid w:val="002E6D20"/>
    <w:rsid w:val="002F411B"/>
    <w:rsid w:val="002F7272"/>
    <w:rsid w:val="002F7811"/>
    <w:rsid w:val="00301A26"/>
    <w:rsid w:val="00303A6A"/>
    <w:rsid w:val="0030482C"/>
    <w:rsid w:val="0030602F"/>
    <w:rsid w:val="003257CE"/>
    <w:rsid w:val="00325EE9"/>
    <w:rsid w:val="003314CB"/>
    <w:rsid w:val="0033528D"/>
    <w:rsid w:val="00335322"/>
    <w:rsid w:val="00337FD1"/>
    <w:rsid w:val="003438A1"/>
    <w:rsid w:val="003474DC"/>
    <w:rsid w:val="003523A5"/>
    <w:rsid w:val="003544DD"/>
    <w:rsid w:val="00356DC6"/>
    <w:rsid w:val="00360539"/>
    <w:rsid w:val="00361280"/>
    <w:rsid w:val="0036259B"/>
    <w:rsid w:val="003677F2"/>
    <w:rsid w:val="00384140"/>
    <w:rsid w:val="003849C3"/>
    <w:rsid w:val="00384EAD"/>
    <w:rsid w:val="00387679"/>
    <w:rsid w:val="00394CF7"/>
    <w:rsid w:val="003974BB"/>
    <w:rsid w:val="003A0AAB"/>
    <w:rsid w:val="003A309C"/>
    <w:rsid w:val="003A377A"/>
    <w:rsid w:val="003A55DA"/>
    <w:rsid w:val="003B0A98"/>
    <w:rsid w:val="003C2802"/>
    <w:rsid w:val="003C4F2F"/>
    <w:rsid w:val="003C7B29"/>
    <w:rsid w:val="003D1BFB"/>
    <w:rsid w:val="003D1CD7"/>
    <w:rsid w:val="003D6083"/>
    <w:rsid w:val="003E7A2F"/>
    <w:rsid w:val="003F2235"/>
    <w:rsid w:val="003F4E11"/>
    <w:rsid w:val="003F5FB8"/>
    <w:rsid w:val="003F6E8B"/>
    <w:rsid w:val="00403319"/>
    <w:rsid w:val="00403CBA"/>
    <w:rsid w:val="0040587A"/>
    <w:rsid w:val="00423803"/>
    <w:rsid w:val="004278F3"/>
    <w:rsid w:val="00431DE8"/>
    <w:rsid w:val="00437829"/>
    <w:rsid w:val="0044785C"/>
    <w:rsid w:val="00454B58"/>
    <w:rsid w:val="00473680"/>
    <w:rsid w:val="0047578E"/>
    <w:rsid w:val="00482BA2"/>
    <w:rsid w:val="004849AE"/>
    <w:rsid w:val="00487BE7"/>
    <w:rsid w:val="004A0523"/>
    <w:rsid w:val="004A50E0"/>
    <w:rsid w:val="004A559E"/>
    <w:rsid w:val="004A72F5"/>
    <w:rsid w:val="004C1B0C"/>
    <w:rsid w:val="004C6190"/>
    <w:rsid w:val="004C7C8C"/>
    <w:rsid w:val="004D4A28"/>
    <w:rsid w:val="004E2CF0"/>
    <w:rsid w:val="004E4C7B"/>
    <w:rsid w:val="004E7D0E"/>
    <w:rsid w:val="004F17CF"/>
    <w:rsid w:val="004F4108"/>
    <w:rsid w:val="005059AE"/>
    <w:rsid w:val="00510495"/>
    <w:rsid w:val="00531FE0"/>
    <w:rsid w:val="00534E63"/>
    <w:rsid w:val="00534E89"/>
    <w:rsid w:val="005352ED"/>
    <w:rsid w:val="00543444"/>
    <w:rsid w:val="00555166"/>
    <w:rsid w:val="00556F67"/>
    <w:rsid w:val="0056159E"/>
    <w:rsid w:val="00564A58"/>
    <w:rsid w:val="00565636"/>
    <w:rsid w:val="00565675"/>
    <w:rsid w:val="00566001"/>
    <w:rsid w:val="005709D6"/>
    <w:rsid w:val="00572E6E"/>
    <w:rsid w:val="00580FDA"/>
    <w:rsid w:val="00584580"/>
    <w:rsid w:val="00585C7B"/>
    <w:rsid w:val="00586E72"/>
    <w:rsid w:val="00590B2F"/>
    <w:rsid w:val="005949C3"/>
    <w:rsid w:val="00596893"/>
    <w:rsid w:val="00596B63"/>
    <w:rsid w:val="005A3169"/>
    <w:rsid w:val="005A53E0"/>
    <w:rsid w:val="005A63E5"/>
    <w:rsid w:val="005A70DB"/>
    <w:rsid w:val="005B2722"/>
    <w:rsid w:val="005B4A69"/>
    <w:rsid w:val="005B4EA1"/>
    <w:rsid w:val="005B6B3D"/>
    <w:rsid w:val="005C10DB"/>
    <w:rsid w:val="005C19CF"/>
    <w:rsid w:val="005D082B"/>
    <w:rsid w:val="005D3B59"/>
    <w:rsid w:val="005F0224"/>
    <w:rsid w:val="0061659B"/>
    <w:rsid w:val="00624CC2"/>
    <w:rsid w:val="00627AB1"/>
    <w:rsid w:val="00635D40"/>
    <w:rsid w:val="00644277"/>
    <w:rsid w:val="0064492A"/>
    <w:rsid w:val="00653537"/>
    <w:rsid w:val="00663C75"/>
    <w:rsid w:val="00672B17"/>
    <w:rsid w:val="0067491D"/>
    <w:rsid w:val="0069498A"/>
    <w:rsid w:val="006A644A"/>
    <w:rsid w:val="006A650E"/>
    <w:rsid w:val="006B1344"/>
    <w:rsid w:val="006B3D01"/>
    <w:rsid w:val="006C73AA"/>
    <w:rsid w:val="006D58C4"/>
    <w:rsid w:val="006E1E6A"/>
    <w:rsid w:val="006E3C66"/>
    <w:rsid w:val="006F5330"/>
    <w:rsid w:val="006F710E"/>
    <w:rsid w:val="00701DBB"/>
    <w:rsid w:val="00703A4C"/>
    <w:rsid w:val="00704E8A"/>
    <w:rsid w:val="0070605A"/>
    <w:rsid w:val="007143A8"/>
    <w:rsid w:val="007257F7"/>
    <w:rsid w:val="00726C75"/>
    <w:rsid w:val="00737428"/>
    <w:rsid w:val="007436E4"/>
    <w:rsid w:val="00745429"/>
    <w:rsid w:val="00745829"/>
    <w:rsid w:val="00745EAC"/>
    <w:rsid w:val="00760FEC"/>
    <w:rsid w:val="0076194D"/>
    <w:rsid w:val="00771811"/>
    <w:rsid w:val="00772DF0"/>
    <w:rsid w:val="0077428C"/>
    <w:rsid w:val="00784FD9"/>
    <w:rsid w:val="00791D53"/>
    <w:rsid w:val="007A3D28"/>
    <w:rsid w:val="007A3D7F"/>
    <w:rsid w:val="007A4BCD"/>
    <w:rsid w:val="007A6DBC"/>
    <w:rsid w:val="007B353E"/>
    <w:rsid w:val="007C5FB8"/>
    <w:rsid w:val="007D0BBB"/>
    <w:rsid w:val="007D669F"/>
    <w:rsid w:val="007F4923"/>
    <w:rsid w:val="007F6A32"/>
    <w:rsid w:val="007F6F5B"/>
    <w:rsid w:val="00801D99"/>
    <w:rsid w:val="00806B7D"/>
    <w:rsid w:val="00822838"/>
    <w:rsid w:val="00822A28"/>
    <w:rsid w:val="00830BA5"/>
    <w:rsid w:val="00831BF7"/>
    <w:rsid w:val="008333CD"/>
    <w:rsid w:val="00835441"/>
    <w:rsid w:val="00836FC5"/>
    <w:rsid w:val="0084716C"/>
    <w:rsid w:val="00852227"/>
    <w:rsid w:val="008550D7"/>
    <w:rsid w:val="00855C50"/>
    <w:rsid w:val="008576F4"/>
    <w:rsid w:val="008619F6"/>
    <w:rsid w:val="00866DA4"/>
    <w:rsid w:val="00890E43"/>
    <w:rsid w:val="008978FD"/>
    <w:rsid w:val="008A04D5"/>
    <w:rsid w:val="008A0C9C"/>
    <w:rsid w:val="008A64A4"/>
    <w:rsid w:val="008A79B3"/>
    <w:rsid w:val="008B2CFD"/>
    <w:rsid w:val="008B56A0"/>
    <w:rsid w:val="008B6E48"/>
    <w:rsid w:val="008C5EAC"/>
    <w:rsid w:val="008D272C"/>
    <w:rsid w:val="008D779F"/>
    <w:rsid w:val="008D77E9"/>
    <w:rsid w:val="008F580A"/>
    <w:rsid w:val="008F6787"/>
    <w:rsid w:val="009017BE"/>
    <w:rsid w:val="009019A3"/>
    <w:rsid w:val="00905812"/>
    <w:rsid w:val="00907588"/>
    <w:rsid w:val="0091525B"/>
    <w:rsid w:val="00922F85"/>
    <w:rsid w:val="00923885"/>
    <w:rsid w:val="0092423F"/>
    <w:rsid w:val="009256C1"/>
    <w:rsid w:val="009460CD"/>
    <w:rsid w:val="00947D6C"/>
    <w:rsid w:val="009547CC"/>
    <w:rsid w:val="0095588A"/>
    <w:rsid w:val="00957BD3"/>
    <w:rsid w:val="00957C32"/>
    <w:rsid w:val="00964EE3"/>
    <w:rsid w:val="00967C08"/>
    <w:rsid w:val="0097766B"/>
    <w:rsid w:val="00991301"/>
    <w:rsid w:val="009922CD"/>
    <w:rsid w:val="00995053"/>
    <w:rsid w:val="00997863"/>
    <w:rsid w:val="009A08DA"/>
    <w:rsid w:val="009A365F"/>
    <w:rsid w:val="009A662C"/>
    <w:rsid w:val="009B23DF"/>
    <w:rsid w:val="009B3853"/>
    <w:rsid w:val="009B6DB9"/>
    <w:rsid w:val="009C4001"/>
    <w:rsid w:val="009D0D3A"/>
    <w:rsid w:val="009D145D"/>
    <w:rsid w:val="009D3F6E"/>
    <w:rsid w:val="009E2D00"/>
    <w:rsid w:val="009F17B2"/>
    <w:rsid w:val="009F5172"/>
    <w:rsid w:val="00A01806"/>
    <w:rsid w:val="00A02ED6"/>
    <w:rsid w:val="00A10CA3"/>
    <w:rsid w:val="00A13BF6"/>
    <w:rsid w:val="00A2170D"/>
    <w:rsid w:val="00A40B5A"/>
    <w:rsid w:val="00A427D5"/>
    <w:rsid w:val="00A522F4"/>
    <w:rsid w:val="00A53123"/>
    <w:rsid w:val="00A57255"/>
    <w:rsid w:val="00A63B90"/>
    <w:rsid w:val="00A71D51"/>
    <w:rsid w:val="00A74958"/>
    <w:rsid w:val="00A82F60"/>
    <w:rsid w:val="00A853D8"/>
    <w:rsid w:val="00A85653"/>
    <w:rsid w:val="00A910FC"/>
    <w:rsid w:val="00AA2737"/>
    <w:rsid w:val="00AA401C"/>
    <w:rsid w:val="00AA4810"/>
    <w:rsid w:val="00AA685A"/>
    <w:rsid w:val="00AB028B"/>
    <w:rsid w:val="00AB1F44"/>
    <w:rsid w:val="00AB5475"/>
    <w:rsid w:val="00AB6A95"/>
    <w:rsid w:val="00AC36EB"/>
    <w:rsid w:val="00AC5C21"/>
    <w:rsid w:val="00AD2782"/>
    <w:rsid w:val="00AD69AF"/>
    <w:rsid w:val="00AD6EF9"/>
    <w:rsid w:val="00AE50E1"/>
    <w:rsid w:val="00AF3855"/>
    <w:rsid w:val="00B10DAC"/>
    <w:rsid w:val="00B13019"/>
    <w:rsid w:val="00B155BE"/>
    <w:rsid w:val="00B248B7"/>
    <w:rsid w:val="00B30688"/>
    <w:rsid w:val="00B327C4"/>
    <w:rsid w:val="00B36BAF"/>
    <w:rsid w:val="00B44094"/>
    <w:rsid w:val="00B50691"/>
    <w:rsid w:val="00B510C5"/>
    <w:rsid w:val="00B53AF6"/>
    <w:rsid w:val="00B5496F"/>
    <w:rsid w:val="00B60E8E"/>
    <w:rsid w:val="00B630AB"/>
    <w:rsid w:val="00B64618"/>
    <w:rsid w:val="00B671EB"/>
    <w:rsid w:val="00B70A47"/>
    <w:rsid w:val="00B73F2A"/>
    <w:rsid w:val="00B826D4"/>
    <w:rsid w:val="00B85220"/>
    <w:rsid w:val="00B87546"/>
    <w:rsid w:val="00B87C37"/>
    <w:rsid w:val="00BA16E4"/>
    <w:rsid w:val="00BA3D40"/>
    <w:rsid w:val="00BA44BB"/>
    <w:rsid w:val="00BA52E8"/>
    <w:rsid w:val="00BA7840"/>
    <w:rsid w:val="00BB16D2"/>
    <w:rsid w:val="00BB2991"/>
    <w:rsid w:val="00BB3A98"/>
    <w:rsid w:val="00BC13CD"/>
    <w:rsid w:val="00BC1A7E"/>
    <w:rsid w:val="00BC2142"/>
    <w:rsid w:val="00BC4E4A"/>
    <w:rsid w:val="00BD44A3"/>
    <w:rsid w:val="00BD651A"/>
    <w:rsid w:val="00BE0FD7"/>
    <w:rsid w:val="00C01EF4"/>
    <w:rsid w:val="00C030A3"/>
    <w:rsid w:val="00C15640"/>
    <w:rsid w:val="00C2185C"/>
    <w:rsid w:val="00C34BD6"/>
    <w:rsid w:val="00C438E7"/>
    <w:rsid w:val="00C54A86"/>
    <w:rsid w:val="00C54FC5"/>
    <w:rsid w:val="00C57A0B"/>
    <w:rsid w:val="00C62D84"/>
    <w:rsid w:val="00C70203"/>
    <w:rsid w:val="00C918AC"/>
    <w:rsid w:val="00CA0459"/>
    <w:rsid w:val="00CA736C"/>
    <w:rsid w:val="00CA7AC1"/>
    <w:rsid w:val="00CC4185"/>
    <w:rsid w:val="00CC44FB"/>
    <w:rsid w:val="00CC7804"/>
    <w:rsid w:val="00CD0C6D"/>
    <w:rsid w:val="00CD39BC"/>
    <w:rsid w:val="00CE197A"/>
    <w:rsid w:val="00CE5097"/>
    <w:rsid w:val="00CF3BC6"/>
    <w:rsid w:val="00D01B4A"/>
    <w:rsid w:val="00D1085E"/>
    <w:rsid w:val="00D11FE1"/>
    <w:rsid w:val="00D12215"/>
    <w:rsid w:val="00D12E8D"/>
    <w:rsid w:val="00D2356A"/>
    <w:rsid w:val="00D235D9"/>
    <w:rsid w:val="00D25147"/>
    <w:rsid w:val="00D27A50"/>
    <w:rsid w:val="00D27EFF"/>
    <w:rsid w:val="00D37769"/>
    <w:rsid w:val="00D43331"/>
    <w:rsid w:val="00D44287"/>
    <w:rsid w:val="00D44827"/>
    <w:rsid w:val="00D50499"/>
    <w:rsid w:val="00D530B9"/>
    <w:rsid w:val="00D617EB"/>
    <w:rsid w:val="00D75589"/>
    <w:rsid w:val="00D80026"/>
    <w:rsid w:val="00D80A97"/>
    <w:rsid w:val="00D81533"/>
    <w:rsid w:val="00D833BB"/>
    <w:rsid w:val="00D918DB"/>
    <w:rsid w:val="00D95E93"/>
    <w:rsid w:val="00D97D88"/>
    <w:rsid w:val="00DA12E0"/>
    <w:rsid w:val="00DA3200"/>
    <w:rsid w:val="00DA45B9"/>
    <w:rsid w:val="00DA6B9D"/>
    <w:rsid w:val="00DA7EB4"/>
    <w:rsid w:val="00DB188F"/>
    <w:rsid w:val="00DB4ED8"/>
    <w:rsid w:val="00DC0466"/>
    <w:rsid w:val="00DC5FF2"/>
    <w:rsid w:val="00DD0539"/>
    <w:rsid w:val="00DD764E"/>
    <w:rsid w:val="00E00B45"/>
    <w:rsid w:val="00E114D2"/>
    <w:rsid w:val="00E136C0"/>
    <w:rsid w:val="00E161FF"/>
    <w:rsid w:val="00E162EC"/>
    <w:rsid w:val="00E206F7"/>
    <w:rsid w:val="00E34934"/>
    <w:rsid w:val="00E47634"/>
    <w:rsid w:val="00E6107F"/>
    <w:rsid w:val="00E6605E"/>
    <w:rsid w:val="00E66122"/>
    <w:rsid w:val="00E72711"/>
    <w:rsid w:val="00E72851"/>
    <w:rsid w:val="00E749FD"/>
    <w:rsid w:val="00E75F6D"/>
    <w:rsid w:val="00E8249F"/>
    <w:rsid w:val="00E85EFC"/>
    <w:rsid w:val="00E86F46"/>
    <w:rsid w:val="00E90910"/>
    <w:rsid w:val="00E92408"/>
    <w:rsid w:val="00E9537A"/>
    <w:rsid w:val="00E95DB5"/>
    <w:rsid w:val="00EA0DA9"/>
    <w:rsid w:val="00EA0DE6"/>
    <w:rsid w:val="00EA55FA"/>
    <w:rsid w:val="00EA6EF6"/>
    <w:rsid w:val="00EB534C"/>
    <w:rsid w:val="00EB5CE4"/>
    <w:rsid w:val="00EC37BD"/>
    <w:rsid w:val="00EC4C41"/>
    <w:rsid w:val="00ED0DAF"/>
    <w:rsid w:val="00ED334C"/>
    <w:rsid w:val="00EE09CC"/>
    <w:rsid w:val="00EE14BC"/>
    <w:rsid w:val="00EF40F7"/>
    <w:rsid w:val="00F03517"/>
    <w:rsid w:val="00F036D3"/>
    <w:rsid w:val="00F05B24"/>
    <w:rsid w:val="00F11112"/>
    <w:rsid w:val="00F31727"/>
    <w:rsid w:val="00F36856"/>
    <w:rsid w:val="00F42AE0"/>
    <w:rsid w:val="00F4326C"/>
    <w:rsid w:val="00F44798"/>
    <w:rsid w:val="00F47624"/>
    <w:rsid w:val="00F476C8"/>
    <w:rsid w:val="00F5627A"/>
    <w:rsid w:val="00F636BD"/>
    <w:rsid w:val="00F663D8"/>
    <w:rsid w:val="00F7270A"/>
    <w:rsid w:val="00F8363E"/>
    <w:rsid w:val="00F87EBB"/>
    <w:rsid w:val="00F92A7B"/>
    <w:rsid w:val="00F9553B"/>
    <w:rsid w:val="00F97733"/>
    <w:rsid w:val="00FA279D"/>
    <w:rsid w:val="00FA652D"/>
    <w:rsid w:val="00FB061F"/>
    <w:rsid w:val="00FC494F"/>
    <w:rsid w:val="00FC6638"/>
    <w:rsid w:val="00FD110C"/>
    <w:rsid w:val="00FF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chartTrackingRefBased/>
  <w15:docId w15:val="{04FE8156-FA97-4E5C-A34E-81A0708B6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4FD9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784FD9"/>
    <w:pPr>
      <w:keepNext/>
      <w:keepLines/>
      <w:outlineLvl w:val="0"/>
    </w:pPr>
    <w:rPr>
      <w:rFonts w:eastAsiaTheme="majorEastAsia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D4428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855C50"/>
    <w:pPr>
      <w:jc w:val="both"/>
    </w:pPr>
  </w:style>
  <w:style w:type="character" w:customStyle="1" w:styleId="TekstpodstawowyZnak">
    <w:name w:val="Tekst podstawowy Znak"/>
    <w:link w:val="Tekstpodstawowy"/>
    <w:rsid w:val="00855C50"/>
    <w:rPr>
      <w:sz w:val="24"/>
      <w:szCs w:val="24"/>
    </w:rPr>
  </w:style>
  <w:style w:type="paragraph" w:styleId="Nagwek">
    <w:name w:val="header"/>
    <w:basedOn w:val="Normalny"/>
    <w:link w:val="NagwekZnak"/>
    <w:rsid w:val="000B5F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0B5F7B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0B5F7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B5F7B"/>
    <w:rPr>
      <w:sz w:val="24"/>
      <w:szCs w:val="24"/>
    </w:rPr>
  </w:style>
  <w:style w:type="character" w:styleId="Hipercze">
    <w:name w:val="Hyperlink"/>
    <w:uiPriority w:val="99"/>
    <w:unhideWhenUsed/>
    <w:rsid w:val="005A53E0"/>
    <w:rPr>
      <w:color w:val="0000FF"/>
      <w:u w:val="single"/>
    </w:rPr>
  </w:style>
  <w:style w:type="paragraph" w:customStyle="1" w:styleId="Default">
    <w:name w:val="Default"/>
    <w:rsid w:val="005D3B5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Numerstrony">
    <w:name w:val="page number"/>
    <w:basedOn w:val="Domylnaczcionkaakapitu"/>
    <w:rsid w:val="00FA652D"/>
  </w:style>
  <w:style w:type="paragraph" w:styleId="NormalnyWeb">
    <w:name w:val="Normal (Web)"/>
    <w:basedOn w:val="Normalny"/>
    <w:uiPriority w:val="99"/>
    <w:rsid w:val="00967C08"/>
    <w:pPr>
      <w:spacing w:before="150"/>
    </w:pPr>
    <w:rPr>
      <w:rFonts w:ascii="Arial" w:hAnsi="Arial" w:cs="Arial"/>
      <w:color w:val="000000"/>
    </w:rPr>
  </w:style>
  <w:style w:type="paragraph" w:styleId="Tekstprzypisukocowego">
    <w:name w:val="endnote text"/>
    <w:basedOn w:val="Normalny"/>
    <w:semiHidden/>
    <w:rsid w:val="0030482C"/>
    <w:rPr>
      <w:sz w:val="20"/>
      <w:szCs w:val="20"/>
    </w:rPr>
  </w:style>
  <w:style w:type="character" w:styleId="Odwoanieprzypisukocowego">
    <w:name w:val="endnote reference"/>
    <w:semiHidden/>
    <w:rsid w:val="0030482C"/>
    <w:rPr>
      <w:vertAlign w:val="superscript"/>
    </w:rPr>
  </w:style>
  <w:style w:type="character" w:customStyle="1" w:styleId="highlight1">
    <w:name w:val="highlight1"/>
    <w:rsid w:val="009B3853"/>
    <w:rPr>
      <w:b/>
      <w:bCs/>
    </w:rPr>
  </w:style>
  <w:style w:type="character" w:customStyle="1" w:styleId="Teksttreci3">
    <w:name w:val="Tekst treści (3)_"/>
    <w:link w:val="Teksttreci30"/>
    <w:rsid w:val="008A79B3"/>
    <w:rPr>
      <w:rFonts w:ascii="Arial Narrow" w:eastAsia="Arial Narrow" w:hAnsi="Arial Narrow" w:cs="Arial Narrow"/>
      <w:b/>
      <w:bCs/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A79B3"/>
    <w:pPr>
      <w:widowControl w:val="0"/>
      <w:shd w:val="clear" w:color="auto" w:fill="FFFFFF"/>
      <w:spacing w:before="2100" w:line="173" w:lineRule="exact"/>
      <w:jc w:val="center"/>
    </w:pPr>
    <w:rPr>
      <w:rFonts w:ascii="Arial Narrow" w:eastAsia="Arial Narrow" w:hAnsi="Arial Narrow" w:cs="Arial Narrow"/>
      <w:b/>
      <w:bCs/>
      <w:sz w:val="16"/>
      <w:szCs w:val="16"/>
    </w:rPr>
  </w:style>
  <w:style w:type="paragraph" w:styleId="Bezodstpw">
    <w:name w:val="No Spacing"/>
    <w:uiPriority w:val="1"/>
    <w:qFormat/>
    <w:rsid w:val="00D833BB"/>
    <w:pPr>
      <w:overflowPunct w:val="0"/>
      <w:autoSpaceDE w:val="0"/>
      <w:autoSpaceDN w:val="0"/>
      <w:adjustRightInd w:val="0"/>
      <w:jc w:val="both"/>
    </w:pPr>
    <w:rPr>
      <w:rFonts w:ascii="Times New Roman PL" w:hAnsi="Times New Roman PL"/>
      <w:sz w:val="26"/>
    </w:rPr>
  </w:style>
  <w:style w:type="paragraph" w:styleId="Akapitzlist">
    <w:name w:val="List Paragraph"/>
    <w:basedOn w:val="Normalny"/>
    <w:uiPriority w:val="34"/>
    <w:qFormat/>
    <w:rsid w:val="005059AE"/>
    <w:pPr>
      <w:ind w:left="708"/>
    </w:pPr>
  </w:style>
  <w:style w:type="character" w:customStyle="1" w:styleId="Bodytext">
    <w:name w:val="Body text_"/>
    <w:link w:val="Tekstpodstawowy2"/>
    <w:rsid w:val="0018321B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BodytextBold">
    <w:name w:val="Body text + Bold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customStyle="1" w:styleId="Tekstpodstawowy2">
    <w:name w:val="Tekst podstawowy2"/>
    <w:basedOn w:val="Normalny"/>
    <w:link w:val="Bodytext"/>
    <w:rsid w:val="0018321B"/>
    <w:pPr>
      <w:widowControl w:val="0"/>
      <w:shd w:val="clear" w:color="auto" w:fill="FFFFFF"/>
      <w:spacing w:after="360" w:line="0" w:lineRule="atLeast"/>
      <w:ind w:hanging="360"/>
      <w:jc w:val="right"/>
    </w:pPr>
    <w:rPr>
      <w:rFonts w:eastAsia="Calibri" w:cs="Calibri"/>
      <w:sz w:val="21"/>
      <w:szCs w:val="21"/>
    </w:rPr>
  </w:style>
  <w:style w:type="character" w:customStyle="1" w:styleId="Bodytext8">
    <w:name w:val="Body text (8)_"/>
    <w:link w:val="Bodytext80"/>
    <w:rsid w:val="0018321B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paragraph" w:customStyle="1" w:styleId="Bodytext80">
    <w:name w:val="Body text (8)"/>
    <w:basedOn w:val="Normalny"/>
    <w:link w:val="Bodytext8"/>
    <w:rsid w:val="0018321B"/>
    <w:pPr>
      <w:widowControl w:val="0"/>
      <w:shd w:val="clear" w:color="auto" w:fill="FFFFFF"/>
      <w:spacing w:before="240" w:line="307" w:lineRule="exact"/>
      <w:ind w:hanging="340"/>
      <w:jc w:val="both"/>
    </w:pPr>
    <w:rPr>
      <w:rFonts w:eastAsia="Calibri" w:cs="Calibri"/>
      <w:i/>
      <w:iCs/>
      <w:sz w:val="21"/>
      <w:szCs w:val="21"/>
    </w:rPr>
  </w:style>
  <w:style w:type="character" w:customStyle="1" w:styleId="Headerorfooter">
    <w:name w:val="Header or footer_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Headerorfooter0">
    <w:name w:val="Header or footer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HeaderorfooterNotBold">
    <w:name w:val="Header or footer + Not Bold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pl-PL" w:eastAsia="pl-PL" w:bidi="pl-PL"/>
    </w:rPr>
  </w:style>
  <w:style w:type="character" w:customStyle="1" w:styleId="Headerorfooter4ptNotBold">
    <w:name w:val="Header or footer + 4 pt;Not Bold"/>
    <w:rsid w:val="0018321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pl-PL" w:eastAsia="pl-PL" w:bidi="pl-PL"/>
    </w:rPr>
  </w:style>
  <w:style w:type="character" w:customStyle="1" w:styleId="BodytextItalicSmallCaps">
    <w:name w:val="Body text + Italic;Small Caps"/>
    <w:rsid w:val="0018321B"/>
    <w:rPr>
      <w:rFonts w:ascii="Calibri" w:eastAsia="Calibri" w:hAnsi="Calibri" w:cs="Calibri"/>
      <w:b w:val="0"/>
      <w:bCs w:val="0"/>
      <w:i/>
      <w:iCs/>
      <w:smallCaps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Bodytext2">
    <w:name w:val="Body text|2_"/>
    <w:link w:val="Bodytext20"/>
    <w:rsid w:val="00534E89"/>
    <w:rPr>
      <w:sz w:val="22"/>
      <w:szCs w:val="22"/>
      <w:shd w:val="clear" w:color="auto" w:fill="FFFFFF"/>
    </w:rPr>
  </w:style>
  <w:style w:type="paragraph" w:customStyle="1" w:styleId="Bodytext20">
    <w:name w:val="Body text|2"/>
    <w:basedOn w:val="Normalny"/>
    <w:link w:val="Bodytext2"/>
    <w:qFormat/>
    <w:rsid w:val="00534E89"/>
    <w:pPr>
      <w:widowControl w:val="0"/>
      <w:shd w:val="clear" w:color="auto" w:fill="FFFFFF"/>
      <w:spacing w:line="379" w:lineRule="exact"/>
    </w:pPr>
    <w:rPr>
      <w:szCs w:val="22"/>
    </w:rPr>
  </w:style>
  <w:style w:type="character" w:customStyle="1" w:styleId="Bodytext10">
    <w:name w:val="Body text|10_"/>
    <w:link w:val="Bodytext100"/>
    <w:rsid w:val="00D12215"/>
    <w:rPr>
      <w:b/>
      <w:bCs/>
      <w:sz w:val="22"/>
      <w:szCs w:val="22"/>
      <w:shd w:val="clear" w:color="auto" w:fill="FFFFFF"/>
    </w:rPr>
  </w:style>
  <w:style w:type="paragraph" w:customStyle="1" w:styleId="Bodytext100">
    <w:name w:val="Body text|10"/>
    <w:basedOn w:val="Normalny"/>
    <w:link w:val="Bodytext10"/>
    <w:rsid w:val="00D12215"/>
    <w:pPr>
      <w:widowControl w:val="0"/>
      <w:shd w:val="clear" w:color="auto" w:fill="FFFFFF"/>
      <w:spacing w:after="140" w:line="244" w:lineRule="exact"/>
      <w:jc w:val="both"/>
    </w:pPr>
    <w:rPr>
      <w:b/>
      <w:bCs/>
      <w:szCs w:val="22"/>
    </w:rPr>
  </w:style>
  <w:style w:type="character" w:customStyle="1" w:styleId="Bodytext3">
    <w:name w:val="Body text|3_"/>
    <w:link w:val="Bodytext30"/>
    <w:rsid w:val="00D12215"/>
    <w:rPr>
      <w:shd w:val="clear" w:color="auto" w:fill="FFFFFF"/>
    </w:rPr>
  </w:style>
  <w:style w:type="paragraph" w:customStyle="1" w:styleId="Bodytext30">
    <w:name w:val="Body text|3"/>
    <w:basedOn w:val="Normalny"/>
    <w:link w:val="Bodytext3"/>
    <w:rsid w:val="00D12215"/>
    <w:pPr>
      <w:widowControl w:val="0"/>
      <w:shd w:val="clear" w:color="auto" w:fill="FFFFFF"/>
      <w:spacing w:after="100" w:line="266" w:lineRule="exact"/>
    </w:pPr>
    <w:rPr>
      <w:sz w:val="20"/>
      <w:szCs w:val="20"/>
    </w:rPr>
  </w:style>
  <w:style w:type="character" w:customStyle="1" w:styleId="tabulatory1">
    <w:name w:val="tabulatory1"/>
    <w:rsid w:val="00D12215"/>
  </w:style>
  <w:style w:type="character" w:customStyle="1" w:styleId="info-list-value-uzasadnienie">
    <w:name w:val="info-list-value-uzasadnienie"/>
    <w:rsid w:val="003D6083"/>
  </w:style>
  <w:style w:type="character" w:customStyle="1" w:styleId="highlight">
    <w:name w:val="highlight"/>
    <w:rsid w:val="004C7C8C"/>
  </w:style>
  <w:style w:type="character" w:customStyle="1" w:styleId="act">
    <w:name w:val="act"/>
    <w:rsid w:val="006A644A"/>
  </w:style>
  <w:style w:type="character" w:customStyle="1" w:styleId="Bodytext2Bold">
    <w:name w:val="Body text|2 + Bold"/>
    <w:semiHidden/>
    <w:unhideWhenUsed/>
    <w:rsid w:val="0090758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rsid w:val="00784FD9"/>
    <w:rPr>
      <w:rFonts w:ascii="Calibri" w:eastAsiaTheme="majorEastAsia" w:hAnsi="Calibri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5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4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6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86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40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4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65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7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0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4508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0315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899337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34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850372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03019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5691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707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8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81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42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91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2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0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99008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81046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558175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4311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2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4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9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7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195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92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248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49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78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52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733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680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196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7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48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3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50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22584">
      <w:bodyDiv w:val="1"/>
      <w:marLeft w:val="0"/>
      <w:marRight w:val="3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100523">
          <w:marLeft w:val="0"/>
          <w:marRight w:val="0"/>
          <w:marTop w:val="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163312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354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35DFC5-C536-4BD6-88C9-7893DAA09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1607</Words>
  <Characters>9770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Interpretacja podatkowa</vt:lpstr>
    </vt:vector>
  </TitlesOfParts>
  <Company>UM</Company>
  <LinksUpToDate>false</LinksUpToDate>
  <CharactersWithSpaces>11355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Interpretacja podatkowa</dc:title>
  <dc:subject/>
  <dc:creator>kmajchrzak</dc:creator>
  <cp:keywords/>
  <cp:lastModifiedBy>Wawer Jakub (COP)</cp:lastModifiedBy>
  <cp:revision>6</cp:revision>
  <cp:lastPrinted>2023-02-14T13:15:00Z</cp:lastPrinted>
  <dcterms:created xsi:type="dcterms:W3CDTF">2023-02-14T12:37:00Z</dcterms:created>
  <dcterms:modified xsi:type="dcterms:W3CDTF">2023-02-14T13:15:00Z</dcterms:modified>
</cp:coreProperties>
</file>