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B9DF" w14:textId="47D2FE71" w:rsidR="00E168BB" w:rsidRPr="007F6606" w:rsidRDefault="00545F8D" w:rsidP="00886F17">
      <w:pPr>
        <w:pStyle w:val="Nagwek1"/>
        <w:rPr>
          <w:sz w:val="22"/>
          <w:szCs w:val="22"/>
        </w:rPr>
      </w:pPr>
      <w:r w:rsidRPr="007F6606">
        <w:rPr>
          <w:sz w:val="22"/>
          <w:szCs w:val="22"/>
        </w:rPr>
        <w:t>ZARZĄDZENIE</w:t>
      </w:r>
      <w:r w:rsidR="003B3E41" w:rsidRPr="007F6606">
        <w:rPr>
          <w:sz w:val="22"/>
          <w:szCs w:val="22"/>
        </w:rPr>
        <w:t xml:space="preserve"> NR </w:t>
      </w:r>
      <w:r w:rsidR="00594614">
        <w:rPr>
          <w:sz w:val="22"/>
          <w:szCs w:val="22"/>
        </w:rPr>
        <w:t>1754</w:t>
      </w:r>
      <w:r w:rsidR="005B5238" w:rsidRPr="007F6606">
        <w:rPr>
          <w:sz w:val="22"/>
          <w:szCs w:val="22"/>
        </w:rPr>
        <w:t>/</w:t>
      </w:r>
      <w:r w:rsidR="003B3E41" w:rsidRPr="007F6606">
        <w:rPr>
          <w:sz w:val="22"/>
          <w:szCs w:val="22"/>
        </w:rPr>
        <w:t>20</w:t>
      </w:r>
      <w:r w:rsidR="002A28A7" w:rsidRPr="007F6606">
        <w:rPr>
          <w:sz w:val="22"/>
          <w:szCs w:val="22"/>
        </w:rPr>
        <w:t>23</w:t>
      </w:r>
      <w:r w:rsidR="00E85C9C" w:rsidRPr="007F6606">
        <w:rPr>
          <w:sz w:val="22"/>
          <w:szCs w:val="22"/>
        </w:rPr>
        <w:br/>
      </w:r>
      <w:r w:rsidRPr="007F6606">
        <w:rPr>
          <w:sz w:val="22"/>
          <w:szCs w:val="22"/>
        </w:rPr>
        <w:t>PREZYDENTA</w:t>
      </w:r>
      <w:r w:rsidR="00886F17">
        <w:rPr>
          <w:sz w:val="22"/>
          <w:szCs w:val="22"/>
        </w:rPr>
        <w:t xml:space="preserve"> MIASTA STOŁECZNEGO WARSZAWY</w:t>
      </w:r>
      <w:r w:rsidR="00E85C9C" w:rsidRPr="007F6606">
        <w:rPr>
          <w:sz w:val="22"/>
          <w:szCs w:val="22"/>
        </w:rPr>
        <w:br/>
      </w:r>
      <w:r w:rsidR="003B3E41" w:rsidRPr="007F6606">
        <w:rPr>
          <w:sz w:val="22"/>
          <w:szCs w:val="22"/>
        </w:rPr>
        <w:t xml:space="preserve">z </w:t>
      </w:r>
      <w:r w:rsidR="00594614">
        <w:rPr>
          <w:sz w:val="22"/>
          <w:szCs w:val="22"/>
        </w:rPr>
        <w:t>30 listopada</w:t>
      </w:r>
      <w:r w:rsidR="002A28A7" w:rsidRPr="007F6606">
        <w:rPr>
          <w:sz w:val="22"/>
          <w:szCs w:val="22"/>
        </w:rPr>
        <w:t xml:space="preserve"> 2023</w:t>
      </w:r>
      <w:r w:rsidR="003B3E41" w:rsidRPr="007F6606">
        <w:rPr>
          <w:sz w:val="22"/>
          <w:szCs w:val="22"/>
        </w:rPr>
        <w:t xml:space="preserve"> r.</w:t>
      </w:r>
    </w:p>
    <w:p w14:paraId="37D52771" w14:textId="3AE9003F" w:rsidR="00E82E80" w:rsidRPr="007F6606" w:rsidRDefault="002A28A7" w:rsidP="00886F17">
      <w:pPr>
        <w:pStyle w:val="Nagwek1"/>
        <w:rPr>
          <w:sz w:val="22"/>
          <w:szCs w:val="22"/>
        </w:rPr>
      </w:pPr>
      <w:r w:rsidRPr="007F6606">
        <w:rPr>
          <w:sz w:val="22"/>
          <w:szCs w:val="22"/>
        </w:rPr>
        <w:t>zmieniające zarządzenie w sprawie nadania regulaminu organizacyjnego Urzędu miasta stołecznego Warszawy</w:t>
      </w:r>
    </w:p>
    <w:p w14:paraId="0756E0A3" w14:textId="5563A00F" w:rsidR="003B3E41" w:rsidRPr="007F6606" w:rsidRDefault="00DA33C7" w:rsidP="00886F17">
      <w:pPr>
        <w:pStyle w:val="Bezodstpw"/>
        <w:spacing w:after="240" w:line="300" w:lineRule="auto"/>
        <w:rPr>
          <w:rFonts w:asciiTheme="minorHAnsi" w:hAnsiTheme="minorHAnsi"/>
        </w:rPr>
      </w:pPr>
      <w:r w:rsidRPr="007F6606">
        <w:rPr>
          <w:rFonts w:asciiTheme="minorHAnsi" w:hAnsiTheme="minorHAnsi"/>
          <w:iCs/>
        </w:rPr>
        <w:t xml:space="preserve">Na podstawie art. 33 ust. 2 w związku z art. 11a ust. 3 ustawy z dnia 8 marca 1990 r. o samorządzie gminnym </w:t>
      </w:r>
      <w:r w:rsidRPr="007F6606">
        <w:rPr>
          <w:rFonts w:asciiTheme="minorHAnsi" w:hAnsiTheme="minorHAnsi"/>
        </w:rPr>
        <w:t>(Dz. U. z 2023 r. poz.</w:t>
      </w:r>
      <w:r w:rsidR="00743BF7" w:rsidRPr="007F6606">
        <w:rPr>
          <w:rFonts w:asciiTheme="minorHAnsi" w:hAnsiTheme="minorHAnsi"/>
        </w:rPr>
        <w:t xml:space="preserve"> 40,</w:t>
      </w:r>
      <w:r w:rsidRPr="007F6606">
        <w:rPr>
          <w:rFonts w:asciiTheme="minorHAnsi" w:hAnsiTheme="minorHAnsi"/>
        </w:rPr>
        <w:t xml:space="preserve"> 572</w:t>
      </w:r>
      <w:r w:rsidR="00743BF7" w:rsidRPr="007F6606">
        <w:rPr>
          <w:rFonts w:asciiTheme="minorHAnsi" w:hAnsiTheme="minorHAnsi"/>
        </w:rPr>
        <w:t>, 1463 i 1688</w:t>
      </w:r>
      <w:r w:rsidRPr="007F6606">
        <w:rPr>
          <w:rFonts w:asciiTheme="minorHAnsi" w:hAnsiTheme="minorHAnsi"/>
          <w:iCs/>
        </w:rPr>
        <w:t>) zarządza się, co następuje:</w:t>
      </w:r>
    </w:p>
    <w:p w14:paraId="019510FE" w14:textId="0A392A47" w:rsidR="00E82E80" w:rsidRPr="00DA33C7" w:rsidRDefault="00743BF7" w:rsidP="00886F17">
      <w:pPr>
        <w:pStyle w:val="Tekstpodstawowy"/>
        <w:spacing w:after="240"/>
        <w:ind w:firstLine="567"/>
        <w:rPr>
          <w:rFonts w:asciiTheme="minorHAnsi" w:hAnsiTheme="minorHAnsi"/>
          <w:b/>
          <w:color w:val="FF0000"/>
          <w:szCs w:val="22"/>
        </w:rPr>
      </w:pPr>
      <w:r w:rsidRPr="00743BF7">
        <w:rPr>
          <w:rFonts w:asciiTheme="minorHAnsi" w:hAnsiTheme="minorHAnsi" w:cstheme="minorHAnsi"/>
          <w:b/>
          <w:szCs w:val="22"/>
        </w:rPr>
        <w:t xml:space="preserve">§ 1. </w:t>
      </w:r>
      <w:r w:rsidRPr="00743BF7">
        <w:rPr>
          <w:rFonts w:cstheme="minorHAnsi"/>
          <w:szCs w:val="22"/>
        </w:rPr>
        <w:t xml:space="preserve">W załączniku do regulaminu organizacyjnego Urzędu miasta stołecznego Warszawy stanowiącego załącznik </w:t>
      </w:r>
      <w:r w:rsidRPr="00743BF7">
        <w:rPr>
          <w:rFonts w:asciiTheme="minorHAnsi" w:hAnsiTheme="minorHAnsi" w:cstheme="minorHAnsi"/>
          <w:szCs w:val="22"/>
        </w:rPr>
        <w:t>do zarządzenia nr 312/2007 Prezydenta Miasta Stołecznego Warszawy z dnia 4 kwietnia 2007 r. w sprawie nadania regulaminu organizacyjnego Urzędu miasta stołecznego Warszawy (z późn. zm.</w:t>
      </w:r>
      <w:r w:rsidRPr="00743BF7">
        <w:rPr>
          <w:rFonts w:asciiTheme="minorHAnsi" w:hAnsiTheme="minorHAnsi" w:cstheme="minorHAnsi"/>
          <w:bCs/>
          <w:szCs w:val="22"/>
          <w:vertAlign w:val="superscript"/>
          <w:lang w:val="en-US"/>
        </w:rPr>
        <w:footnoteReference w:id="1"/>
      </w:r>
      <w:r w:rsidRPr="00743BF7">
        <w:rPr>
          <w:rFonts w:asciiTheme="minorHAnsi" w:hAnsiTheme="minorHAnsi" w:cstheme="minorHAnsi"/>
          <w:bCs/>
          <w:szCs w:val="22"/>
          <w:vertAlign w:val="superscript"/>
        </w:rPr>
        <w:t>)</w:t>
      </w:r>
      <w:r w:rsidRPr="00743BF7">
        <w:rPr>
          <w:rFonts w:asciiTheme="minorHAnsi" w:hAnsiTheme="minorHAnsi" w:cstheme="minorHAnsi"/>
          <w:szCs w:val="22"/>
        </w:rPr>
        <w:t xml:space="preserve">) </w:t>
      </w:r>
      <w:r w:rsidRPr="00743BF7">
        <w:rPr>
          <w:rFonts w:asciiTheme="minorHAnsi" w:eastAsiaTheme="minorHAnsi" w:hAnsiTheme="minorHAnsi" w:cstheme="minorHAnsi"/>
          <w:szCs w:val="22"/>
          <w:lang w:eastAsia="en-US"/>
        </w:rPr>
        <w:t>wprowadza się następujące zmiany:</w:t>
      </w:r>
    </w:p>
    <w:p w14:paraId="681EA138" w14:textId="38279CF4" w:rsidR="00EB3C36" w:rsidRDefault="00EB3C36" w:rsidP="00886F17">
      <w:pPr>
        <w:pStyle w:val="Bezodstpw"/>
        <w:numPr>
          <w:ilvl w:val="0"/>
          <w:numId w:val="16"/>
        </w:numPr>
        <w:spacing w:after="0" w:line="300" w:lineRule="auto"/>
        <w:ind w:left="851" w:hanging="284"/>
      </w:pPr>
      <w:r w:rsidRPr="00EB3C36">
        <w:lastRenderedPageBreak/>
        <w:t>w § 9</w:t>
      </w:r>
      <w:r>
        <w:t>:</w:t>
      </w:r>
    </w:p>
    <w:p w14:paraId="64AF7B0B" w14:textId="77777777" w:rsidR="00EB3C36" w:rsidRDefault="00EB3C36" w:rsidP="00886F17">
      <w:pPr>
        <w:pStyle w:val="Bezodstpw"/>
        <w:numPr>
          <w:ilvl w:val="0"/>
          <w:numId w:val="17"/>
        </w:numPr>
        <w:spacing w:after="0" w:line="300" w:lineRule="auto"/>
        <w:ind w:left="1134" w:hanging="283"/>
      </w:pPr>
      <w:r>
        <w:t>w ust. 1:</w:t>
      </w:r>
    </w:p>
    <w:p w14:paraId="2F6D6A99" w14:textId="4CDA132B" w:rsidR="00A951C8" w:rsidRPr="00F93ED8" w:rsidRDefault="00A951C8" w:rsidP="00886F17">
      <w:pPr>
        <w:pStyle w:val="Bezodstpw"/>
        <w:numPr>
          <w:ilvl w:val="0"/>
          <w:numId w:val="18"/>
        </w:numPr>
        <w:spacing w:after="0" w:line="300" w:lineRule="auto"/>
        <w:ind w:left="1418" w:hanging="284"/>
      </w:pPr>
      <w:r w:rsidRPr="00F93ED8">
        <w:t xml:space="preserve">w </w:t>
      </w:r>
      <w:r w:rsidR="00EB3C36" w:rsidRPr="00F93ED8">
        <w:t>pkt 2</w:t>
      </w:r>
      <w:r w:rsidRPr="00F93ED8">
        <w:t>:</w:t>
      </w:r>
    </w:p>
    <w:p w14:paraId="449E6A5C" w14:textId="2AF1AC6D" w:rsidR="00A62158" w:rsidRPr="00F93ED8" w:rsidRDefault="005F6E3F" w:rsidP="00886F17">
      <w:pPr>
        <w:pStyle w:val="Bezodstpw"/>
        <w:spacing w:after="0" w:line="300" w:lineRule="auto"/>
        <w:ind w:left="1418"/>
      </w:pPr>
      <w:r w:rsidRPr="005F6E3F">
        <w:t>– –</w:t>
      </w:r>
      <w:r>
        <w:t xml:space="preserve"> </w:t>
      </w:r>
      <w:r w:rsidR="00EB3C36" w:rsidRPr="00F93ED8">
        <w:t>uchyla się lit. e</w:t>
      </w:r>
      <w:r w:rsidR="0060670D" w:rsidRPr="00F93ED8">
        <w:t>,</w:t>
      </w:r>
    </w:p>
    <w:p w14:paraId="6E19B631" w14:textId="6602BBDE" w:rsidR="00EB3C36" w:rsidRPr="00F93ED8" w:rsidRDefault="005F6E3F" w:rsidP="00886F17">
      <w:pPr>
        <w:pStyle w:val="Bezodstpw"/>
        <w:spacing w:after="0" w:line="300" w:lineRule="auto"/>
        <w:ind w:left="1418"/>
      </w:pPr>
      <w:r w:rsidRPr="005F6E3F">
        <w:t>– –</w:t>
      </w:r>
      <w:r>
        <w:t xml:space="preserve"> </w:t>
      </w:r>
      <w:r w:rsidR="00EB3C36" w:rsidRPr="00F93ED8">
        <w:t>lit. f</w:t>
      </w:r>
      <w:r w:rsidR="00C56878" w:rsidRPr="00F93ED8">
        <w:t>-j otrzymują</w:t>
      </w:r>
      <w:r w:rsidR="00EB3C36" w:rsidRPr="00F93ED8">
        <w:t xml:space="preserve"> brzmienie:</w:t>
      </w:r>
    </w:p>
    <w:p w14:paraId="4C89FFCC" w14:textId="4DCB3466" w:rsidR="00A62158" w:rsidRPr="00F93ED8" w:rsidRDefault="00EB3C36" w:rsidP="00886F17">
      <w:pPr>
        <w:pStyle w:val="Bezodstpw"/>
        <w:spacing w:after="0" w:line="300" w:lineRule="auto"/>
        <w:ind w:left="1985" w:hanging="284"/>
      </w:pPr>
      <w:r w:rsidRPr="00F93ED8">
        <w:t xml:space="preserve">„f) ocena formalna i finansowa wniosków jednostek i zakładów budżetowych m.st. Warszawy o uruchomienie finansowania wydatków na inwestycje </w:t>
      </w:r>
      <w:proofErr w:type="spellStart"/>
      <w:r w:rsidR="00C56878" w:rsidRPr="00F93ED8">
        <w:t>ogólnomiejskie</w:t>
      </w:r>
      <w:proofErr w:type="spellEnd"/>
      <w:r w:rsidR="00C56878" w:rsidRPr="00F93ED8">
        <w:t>,</w:t>
      </w:r>
    </w:p>
    <w:p w14:paraId="4E11EC27" w14:textId="75D8E653" w:rsidR="0060670D" w:rsidRPr="00F93ED8" w:rsidRDefault="0060670D" w:rsidP="00886F17">
      <w:pPr>
        <w:pStyle w:val="Akapitzlist"/>
        <w:numPr>
          <w:ilvl w:val="0"/>
          <w:numId w:val="21"/>
        </w:numPr>
        <w:spacing w:after="160"/>
        <w:ind w:left="1985" w:right="86" w:hanging="284"/>
        <w:rPr>
          <w:rFonts w:eastAsia="Calibri" w:cs="Calibri"/>
          <w:szCs w:val="22"/>
        </w:rPr>
      </w:pPr>
      <w:r w:rsidRPr="00F93ED8">
        <w:rPr>
          <w:rFonts w:eastAsia="Calibri" w:cs="Calibri"/>
          <w:szCs w:val="22"/>
        </w:rPr>
        <w:t>przygotowywanie materiałów do sprawozdań z wykonania wydatków majątkowych,</w:t>
      </w:r>
    </w:p>
    <w:p w14:paraId="209D79A0" w14:textId="2A6848E6" w:rsidR="0060670D" w:rsidRPr="00F93ED8" w:rsidRDefault="0060670D" w:rsidP="00886F17">
      <w:pPr>
        <w:pStyle w:val="Akapitzlist"/>
        <w:numPr>
          <w:ilvl w:val="0"/>
          <w:numId w:val="21"/>
        </w:numPr>
        <w:spacing w:after="160"/>
        <w:ind w:left="1985" w:right="86" w:hanging="284"/>
        <w:rPr>
          <w:rFonts w:eastAsia="Calibri" w:cs="Calibri"/>
          <w:szCs w:val="22"/>
        </w:rPr>
      </w:pPr>
      <w:r w:rsidRPr="00F93ED8">
        <w:rPr>
          <w:rFonts w:eastAsia="Calibri" w:cs="Calibri"/>
          <w:szCs w:val="22"/>
        </w:rPr>
        <w:t>współpraca z biurami, urzędami dzielnic i jednostkami organizacyjnymi m.st. Warszawy realizującymi inwestycje ogólnomiejskie i dzielnicowe,</w:t>
      </w:r>
    </w:p>
    <w:p w14:paraId="0A7DECEC" w14:textId="77777777" w:rsidR="0060670D" w:rsidRPr="00F93ED8" w:rsidRDefault="0060670D" w:rsidP="00886F17">
      <w:pPr>
        <w:pStyle w:val="Akapitzlist"/>
        <w:numPr>
          <w:ilvl w:val="0"/>
          <w:numId w:val="21"/>
        </w:numPr>
        <w:spacing w:after="160"/>
        <w:ind w:left="1985" w:right="86" w:hanging="284"/>
        <w:rPr>
          <w:rFonts w:eastAsia="Calibri" w:cs="Calibri"/>
          <w:szCs w:val="22"/>
        </w:rPr>
      </w:pPr>
      <w:r w:rsidRPr="00F93ED8">
        <w:rPr>
          <w:rFonts w:eastAsia="Calibri" w:cs="Calibri"/>
          <w:szCs w:val="22"/>
        </w:rPr>
        <w:t>współpraca z osobami prawnymi m.st. Warszawy w zakresie planów inwestycyjnych m.st. Warszawy i tych osób prawnych,</w:t>
      </w:r>
    </w:p>
    <w:p w14:paraId="21A360A8" w14:textId="398CAD1F" w:rsidR="0060670D" w:rsidRPr="00F93ED8" w:rsidRDefault="0060670D" w:rsidP="00886F17">
      <w:pPr>
        <w:pStyle w:val="Akapitzlist"/>
        <w:numPr>
          <w:ilvl w:val="0"/>
          <w:numId w:val="21"/>
        </w:numPr>
        <w:spacing w:after="0"/>
        <w:ind w:left="1985" w:right="85" w:hanging="284"/>
        <w:contextualSpacing w:val="0"/>
        <w:rPr>
          <w:rFonts w:eastAsia="Calibri" w:cs="Calibri"/>
          <w:szCs w:val="22"/>
        </w:rPr>
      </w:pPr>
      <w:r w:rsidRPr="00F93ED8">
        <w:rPr>
          <w:rFonts w:eastAsia="Calibri" w:cs="Calibri"/>
        </w:rPr>
        <w:t>prowadzenie spraw dotyczących przekazywania przyszłym użytkownikom składników majątkowych powstałych w wyniku realizacji przez jednostki organizacyjne m.st. Warszawy inwestycji ogólnomiejskich,”,</w:t>
      </w:r>
    </w:p>
    <w:p w14:paraId="64DA5DCB" w14:textId="206B639F" w:rsidR="0060670D" w:rsidRPr="00F93ED8" w:rsidRDefault="005F6E3F" w:rsidP="00886F17">
      <w:pPr>
        <w:pStyle w:val="Akapitzlist"/>
        <w:spacing w:after="0"/>
        <w:ind w:left="1418" w:right="86"/>
        <w:rPr>
          <w:rFonts w:eastAsia="Calibri" w:cs="Calibri"/>
          <w:szCs w:val="22"/>
        </w:rPr>
      </w:pPr>
      <w:r w:rsidRPr="005F6E3F">
        <w:rPr>
          <w:rFonts w:eastAsia="Calibri" w:cs="Calibri"/>
          <w:szCs w:val="22"/>
        </w:rPr>
        <w:t>– –</w:t>
      </w:r>
      <w:r>
        <w:rPr>
          <w:rFonts w:eastAsia="Calibri" w:cs="Calibri"/>
          <w:szCs w:val="22"/>
        </w:rPr>
        <w:t xml:space="preserve"> </w:t>
      </w:r>
      <w:r w:rsidR="0060670D" w:rsidRPr="00F93ED8">
        <w:rPr>
          <w:rFonts w:eastAsia="Calibri" w:cs="Calibri"/>
          <w:szCs w:val="22"/>
        </w:rPr>
        <w:t>po lit. j dodaje się lit. k w brzmieniu:</w:t>
      </w:r>
    </w:p>
    <w:p w14:paraId="5CB8CC64" w14:textId="727B91A9" w:rsidR="0060670D" w:rsidRPr="00B92752" w:rsidRDefault="0060670D" w:rsidP="00886F17">
      <w:pPr>
        <w:spacing w:after="0"/>
        <w:ind w:left="1701" w:right="86"/>
        <w:rPr>
          <w:rFonts w:eastAsia="Calibri" w:cs="Calibri"/>
          <w:szCs w:val="22"/>
        </w:rPr>
      </w:pPr>
      <w:r w:rsidRPr="00B92752">
        <w:rPr>
          <w:rFonts w:eastAsia="Calibri" w:cs="Calibri"/>
          <w:szCs w:val="22"/>
        </w:rPr>
        <w:t>„k)</w:t>
      </w:r>
      <w:r w:rsidRPr="00B92752">
        <w:rPr>
          <w:rFonts w:eastAsia="Calibri" w:cs="Calibri"/>
          <w:szCs w:val="22"/>
        </w:rPr>
        <w:tab/>
        <w:t>prowadzenie działań informacyjnych;”,</w:t>
      </w:r>
    </w:p>
    <w:p w14:paraId="098FF5D0" w14:textId="4CD1B82F" w:rsidR="00493D73" w:rsidRPr="00B92752" w:rsidRDefault="00493D73" w:rsidP="00886F17">
      <w:pPr>
        <w:pStyle w:val="Akapitzlist"/>
        <w:numPr>
          <w:ilvl w:val="0"/>
          <w:numId w:val="18"/>
        </w:numPr>
        <w:spacing w:after="0"/>
        <w:ind w:left="1418" w:right="85" w:hanging="284"/>
        <w:contextualSpacing w:val="0"/>
        <w:rPr>
          <w:rFonts w:eastAsia="Calibri" w:cs="Calibri"/>
          <w:szCs w:val="22"/>
        </w:rPr>
      </w:pPr>
      <w:r w:rsidRPr="00B92752">
        <w:rPr>
          <w:rFonts w:eastAsia="Calibri" w:cs="Calibri"/>
          <w:szCs w:val="22"/>
        </w:rPr>
        <w:t>w pkt 3 lit. a otrzymuje brzmienie:</w:t>
      </w:r>
    </w:p>
    <w:p w14:paraId="2493BEF0" w14:textId="4CEA8571" w:rsidR="00493D73" w:rsidRPr="00B92752" w:rsidRDefault="00493D73" w:rsidP="00886F17">
      <w:pPr>
        <w:pStyle w:val="Akapitzlist"/>
        <w:spacing w:after="0"/>
        <w:ind w:left="1701" w:right="85" w:hanging="283"/>
        <w:contextualSpacing w:val="0"/>
        <w:rPr>
          <w:rFonts w:eastAsia="Calibri" w:cs="Calibri"/>
          <w:szCs w:val="22"/>
        </w:rPr>
      </w:pPr>
      <w:r w:rsidRPr="00B92752">
        <w:rPr>
          <w:rFonts w:eastAsia="Calibri" w:cs="Calibri"/>
          <w:szCs w:val="22"/>
        </w:rPr>
        <w:t>„a) pełnienie roli beneficjenta w projektach inwestycyjnych m.st. Warszawy,”,</w:t>
      </w:r>
    </w:p>
    <w:p w14:paraId="5C0E17DE" w14:textId="76CE0D2C" w:rsidR="00493D73" w:rsidRPr="001C0354" w:rsidRDefault="00493D73" w:rsidP="00886F17">
      <w:pPr>
        <w:pStyle w:val="Akapitzlist"/>
        <w:numPr>
          <w:ilvl w:val="0"/>
          <w:numId w:val="24"/>
        </w:numPr>
        <w:spacing w:after="0"/>
        <w:ind w:left="1134" w:right="86" w:hanging="283"/>
        <w:rPr>
          <w:rFonts w:eastAsia="Calibri" w:cs="Calibri"/>
          <w:szCs w:val="22"/>
        </w:rPr>
      </w:pPr>
      <w:r w:rsidRPr="001C0354">
        <w:rPr>
          <w:rFonts w:eastAsia="Calibri" w:cs="Calibri"/>
          <w:szCs w:val="22"/>
        </w:rPr>
        <w:t xml:space="preserve">w ust. 2 uchyla się pkt </w:t>
      </w:r>
      <w:r w:rsidR="00C8500E">
        <w:rPr>
          <w:rFonts w:eastAsia="Calibri" w:cs="Calibri"/>
          <w:szCs w:val="22"/>
        </w:rPr>
        <w:t>5</w:t>
      </w:r>
      <w:r w:rsidRPr="001C0354">
        <w:rPr>
          <w:rFonts w:eastAsia="Calibri" w:cs="Calibri"/>
          <w:szCs w:val="22"/>
        </w:rPr>
        <w:t>;</w:t>
      </w:r>
    </w:p>
    <w:p w14:paraId="4179F202" w14:textId="4D09E721" w:rsidR="0022351D" w:rsidRPr="001C0354" w:rsidRDefault="00AC6D56" w:rsidP="00886F17">
      <w:pPr>
        <w:pStyle w:val="Bezodstpw"/>
        <w:numPr>
          <w:ilvl w:val="0"/>
          <w:numId w:val="16"/>
        </w:numPr>
        <w:spacing w:after="0" w:line="300" w:lineRule="auto"/>
        <w:ind w:left="851" w:hanging="284"/>
      </w:pPr>
      <w:r w:rsidRPr="001C0354">
        <w:t>w § 28:</w:t>
      </w:r>
    </w:p>
    <w:p w14:paraId="0FF4C97D" w14:textId="59F2D885" w:rsidR="00AC6D56" w:rsidRPr="001C0354" w:rsidRDefault="00AC6D56" w:rsidP="00886F17">
      <w:pPr>
        <w:pStyle w:val="Bezodstpw"/>
        <w:numPr>
          <w:ilvl w:val="0"/>
          <w:numId w:val="25"/>
        </w:numPr>
        <w:spacing w:after="0" w:line="300" w:lineRule="auto"/>
        <w:ind w:left="1134" w:hanging="283"/>
      </w:pPr>
      <w:r w:rsidRPr="001C0354">
        <w:t>pkt 22 otrzymuje brzmienie:</w:t>
      </w:r>
    </w:p>
    <w:p w14:paraId="54694EB1" w14:textId="3FD932C0" w:rsidR="00AC6D56" w:rsidRPr="001C0354" w:rsidRDefault="00AC6D56" w:rsidP="00886F17">
      <w:pPr>
        <w:pStyle w:val="Bezodstpw"/>
        <w:spacing w:after="0" w:line="300" w:lineRule="auto"/>
        <w:ind w:left="1418" w:hanging="284"/>
      </w:pPr>
      <w:r w:rsidRPr="001C0354">
        <w:lastRenderedPageBreak/>
        <w:t xml:space="preserve">„22) regulacja praw podmiotów leczniczych do nieruchomości (w tym lokali użytkowych stanowiących odrębne nieruchomości albo ich części) będących własnością m.st. Warszawy, wykorzystywanych lub przeznaczonych do wykorzystania przez samodzielne publiczne </w:t>
      </w:r>
      <w:r w:rsidR="00051C4E" w:rsidRPr="001C0354">
        <w:t>zakłady opieki zdrowotnej oraz –</w:t>
      </w:r>
      <w:r w:rsidRPr="001C0354">
        <w:t xml:space="preserve"> w uzgodnieniu z </w:t>
      </w:r>
      <w:r w:rsidR="00D91688">
        <w:t>b</w:t>
      </w:r>
      <w:r w:rsidRPr="001C0354">
        <w:t>iurem właściwy</w:t>
      </w:r>
      <w:r w:rsidR="00051C4E" w:rsidRPr="001C0354">
        <w:t>m do spraw ładu korporacyjnego –</w:t>
      </w:r>
      <w:r w:rsidRPr="001C0354">
        <w:t xml:space="preserve"> spółki, o których mowa w § 18 pkt 1, </w:t>
      </w:r>
      <w:r w:rsidR="001C0354" w:rsidRPr="001C0354">
        <w:t>będące podmiotami leczniczymi;”,</w:t>
      </w:r>
    </w:p>
    <w:p w14:paraId="49570947" w14:textId="0B66004B" w:rsidR="00051C4E" w:rsidRPr="001C0354" w:rsidRDefault="00051C4E" w:rsidP="00886F17">
      <w:pPr>
        <w:pStyle w:val="Bezodstpw"/>
        <w:numPr>
          <w:ilvl w:val="0"/>
          <w:numId w:val="25"/>
        </w:numPr>
        <w:spacing w:after="0" w:line="300" w:lineRule="auto"/>
        <w:ind w:left="1135" w:hanging="284"/>
      </w:pPr>
      <w:r w:rsidRPr="001C0354">
        <w:t>pkt 24 otrzymuje brzmienie:</w:t>
      </w:r>
    </w:p>
    <w:p w14:paraId="63260720" w14:textId="40FC3463" w:rsidR="00051C4E" w:rsidRPr="00B31CC0" w:rsidRDefault="00051C4E" w:rsidP="00886F17">
      <w:pPr>
        <w:pStyle w:val="Bezodstpw"/>
        <w:spacing w:after="0" w:line="300" w:lineRule="auto"/>
        <w:ind w:left="1418" w:hanging="284"/>
      </w:pPr>
      <w:r w:rsidRPr="001C0354">
        <w:t xml:space="preserve">„24) opiniowanie spraw związanych z wyposażaniem samodzielnych publicznych </w:t>
      </w:r>
      <w:r w:rsidRPr="00B31CC0">
        <w:t>zakładów opieki zdrowotnej oraz spółek, o których mowa w § 18 pkt 1, będących podmiotami leczniczymi, w lokale użytkowe m.st. Warszawy;”;</w:t>
      </w:r>
    </w:p>
    <w:p w14:paraId="7E460F97" w14:textId="629A5718" w:rsidR="0022351D" w:rsidRPr="00B31CC0" w:rsidRDefault="00D77BEB" w:rsidP="00886F17">
      <w:pPr>
        <w:pStyle w:val="Bezodstpw"/>
        <w:numPr>
          <w:ilvl w:val="0"/>
          <w:numId w:val="16"/>
        </w:numPr>
        <w:spacing w:after="0" w:line="300" w:lineRule="auto"/>
        <w:ind w:left="851" w:hanging="284"/>
      </w:pPr>
      <w:r w:rsidRPr="00B31CC0">
        <w:t>w § 38 ust. 1 pkt 22</w:t>
      </w:r>
      <w:r w:rsidR="006B59F2" w:rsidRPr="00B31CC0">
        <w:t>a</w:t>
      </w:r>
      <w:r w:rsidRPr="00B31CC0">
        <w:t xml:space="preserve"> </w:t>
      </w:r>
      <w:r w:rsidR="006B59F2" w:rsidRPr="00B31CC0">
        <w:t xml:space="preserve">po lit. e </w:t>
      </w:r>
      <w:r w:rsidRPr="00B31CC0">
        <w:t xml:space="preserve">dodaje się </w:t>
      </w:r>
      <w:r w:rsidR="006B59F2" w:rsidRPr="00B31CC0">
        <w:t xml:space="preserve">lit. f </w:t>
      </w:r>
      <w:r w:rsidRPr="00B31CC0">
        <w:t>w brzmieniu:</w:t>
      </w:r>
    </w:p>
    <w:p w14:paraId="60D0FE07" w14:textId="31D8B9B6" w:rsidR="0022351D" w:rsidRPr="00B31CC0" w:rsidRDefault="00D77BEB" w:rsidP="00886F17">
      <w:pPr>
        <w:pStyle w:val="Bezodstpw"/>
        <w:spacing w:after="240" w:line="300" w:lineRule="auto"/>
        <w:ind w:left="1134" w:hanging="283"/>
      </w:pPr>
      <w:r w:rsidRPr="00B31CC0">
        <w:t>„f)</w:t>
      </w:r>
      <w:r w:rsidR="006B59F2" w:rsidRPr="00B31CC0">
        <w:t xml:space="preserve"> </w:t>
      </w:r>
      <w:r w:rsidRPr="00B31CC0">
        <w:t>wydawanie opinii, o których mowa w art. 41 ust. 6a ustawy z dnia 14 grudnia 2012 r. o odpadach, w ramach wydawania zezwoleń na zbieranie odpadów lub zezwoleń na przetwarzanie odpadów</w:t>
      </w:r>
      <w:r w:rsidR="006B59F2" w:rsidRPr="00B31CC0">
        <w:t>;</w:t>
      </w:r>
      <w:r w:rsidRPr="00B31CC0">
        <w:t>”</w:t>
      </w:r>
      <w:r w:rsidR="006B59F2" w:rsidRPr="00B31CC0">
        <w:t>.</w:t>
      </w:r>
    </w:p>
    <w:p w14:paraId="59F54FB9" w14:textId="2A3C6A85" w:rsidR="00395FCD" w:rsidRPr="005B39B7" w:rsidRDefault="00131068" w:rsidP="00886F17">
      <w:pPr>
        <w:ind w:firstLine="567"/>
      </w:pPr>
      <w:r w:rsidRPr="0033409F">
        <w:rPr>
          <w:b/>
        </w:rPr>
        <w:t>§ </w:t>
      </w:r>
      <w:r w:rsidR="0033409F" w:rsidRPr="0033409F">
        <w:rPr>
          <w:b/>
        </w:rPr>
        <w:t>2</w:t>
      </w:r>
      <w:r w:rsidR="003B3E41" w:rsidRPr="0033409F">
        <w:rPr>
          <w:b/>
        </w:rPr>
        <w:t>.</w:t>
      </w:r>
      <w:r w:rsidR="003B3E41" w:rsidRPr="0033409F">
        <w:t xml:space="preserve"> Wykonanie </w:t>
      </w:r>
      <w:r w:rsidR="00027519" w:rsidRPr="0033409F">
        <w:t>zarządzeni</w:t>
      </w:r>
      <w:r w:rsidR="005537D8">
        <w:t>a</w:t>
      </w:r>
      <w:r w:rsidR="003B3E41" w:rsidRPr="0033409F">
        <w:t xml:space="preserve"> powierza się </w:t>
      </w:r>
      <w:r w:rsidR="0033409F" w:rsidRPr="0033409F">
        <w:t xml:space="preserve">zastępcom Prezydenta miasta stołecznego Warszawy, Sekretarzowi miasta stołecznego Warszawy, Skarbnikowi miasta stołecznego Warszawy, Dyrektorowi </w:t>
      </w:r>
      <w:r w:rsidR="0033409F" w:rsidRPr="005B39B7">
        <w:t>Magistratu, Dyrektorom Koordynatorom, dyrektorom biur Urzędu miasta stołecznego Warszawy oraz burmistrzom dzielnic miasta stołecznego Warszawy</w:t>
      </w:r>
      <w:r w:rsidR="00395FCD" w:rsidRPr="005B39B7">
        <w:t>.</w:t>
      </w:r>
    </w:p>
    <w:p w14:paraId="33003FFA" w14:textId="2EBA23A1" w:rsidR="003B3E41" w:rsidRPr="005B39B7" w:rsidRDefault="0033409F" w:rsidP="00886F17">
      <w:pPr>
        <w:ind w:firstLine="567"/>
      </w:pPr>
      <w:r w:rsidRPr="005B39B7">
        <w:rPr>
          <w:b/>
        </w:rPr>
        <w:t>§ 3</w:t>
      </w:r>
      <w:r w:rsidR="003B3E41" w:rsidRPr="005B39B7">
        <w:rPr>
          <w:b/>
        </w:rPr>
        <w:t>.</w:t>
      </w:r>
      <w:r w:rsidR="00131068" w:rsidRPr="005B39B7">
        <w:rPr>
          <w:b/>
        </w:rPr>
        <w:t> </w:t>
      </w:r>
      <w:r w:rsidR="003B3E41" w:rsidRPr="005B39B7">
        <w:t xml:space="preserve">1. </w:t>
      </w:r>
      <w:r w:rsidR="00027519" w:rsidRPr="005B39B7">
        <w:t>Zarządzenie</w:t>
      </w:r>
      <w:r w:rsidR="003B3E41" w:rsidRPr="005B39B7">
        <w:t xml:space="preserve"> podlega </w:t>
      </w:r>
      <w:r w:rsidR="00131068" w:rsidRPr="005B39B7">
        <w:t xml:space="preserve">publikacji w Biuletynie Informacji Publicznej </w:t>
      </w:r>
      <w:r w:rsidR="00760B17" w:rsidRPr="005B39B7">
        <w:t>Miasta Stołecznego</w:t>
      </w:r>
      <w:r w:rsidR="00131068" w:rsidRPr="005B39B7">
        <w:t xml:space="preserve"> Warszawy.</w:t>
      </w:r>
    </w:p>
    <w:p w14:paraId="2BA33682" w14:textId="78DC9225" w:rsidR="007F6606" w:rsidRDefault="003B3E41" w:rsidP="00886F17">
      <w:pPr>
        <w:ind w:firstLine="567"/>
      </w:pPr>
      <w:r w:rsidRPr="005B39B7">
        <w:t xml:space="preserve">2. </w:t>
      </w:r>
      <w:r w:rsidR="005827E3" w:rsidRPr="005B39B7">
        <w:t xml:space="preserve">Zarządzenie wchodzi w życie </w:t>
      </w:r>
      <w:r w:rsidR="0033409F" w:rsidRPr="005B39B7">
        <w:t>z dniem podpisania.</w:t>
      </w:r>
    </w:p>
    <w:p w14:paraId="1B7CED88" w14:textId="77777777" w:rsidR="00594614" w:rsidRPr="00C146D7" w:rsidRDefault="00594614" w:rsidP="00594614">
      <w:pPr>
        <w:spacing w:after="0"/>
        <w:ind w:left="6372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Prezydent</w:t>
      </w:r>
    </w:p>
    <w:p w14:paraId="22B13920" w14:textId="77777777" w:rsidR="00594614" w:rsidRPr="00C146D7" w:rsidRDefault="00594614" w:rsidP="00594614">
      <w:pPr>
        <w:spacing w:after="0"/>
        <w:ind w:left="5580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Miasta Stołecznego Warszawy</w:t>
      </w:r>
    </w:p>
    <w:p w14:paraId="03E93561" w14:textId="2B9F0031" w:rsidR="00594614" w:rsidRPr="00C146D7" w:rsidRDefault="00594614" w:rsidP="00594614">
      <w:pPr>
        <w:spacing w:after="0"/>
        <w:ind w:firstLine="720"/>
        <w:rPr>
          <w:rFonts w:asciiTheme="minorHAnsi" w:hAnsiTheme="minorHAnsi"/>
          <w:szCs w:val="22"/>
        </w:rPr>
      </w:pPr>
      <w:r w:rsidRPr="00C146D7">
        <w:rPr>
          <w:rFonts w:asciiTheme="minorHAnsi" w:hAnsiTheme="minorHAnsi"/>
          <w:szCs w:val="22"/>
        </w:rPr>
        <w:t xml:space="preserve">                                                                                 </w:t>
      </w:r>
      <w:r>
        <w:rPr>
          <w:rFonts w:asciiTheme="minorHAnsi" w:hAnsiTheme="minorHAnsi"/>
          <w:szCs w:val="22"/>
        </w:rPr>
        <w:t xml:space="preserve">                </w:t>
      </w:r>
      <w:r w:rsidRPr="00C146D7">
        <w:rPr>
          <w:rFonts w:asciiTheme="minorHAnsi" w:hAnsiTheme="minorHAnsi"/>
          <w:szCs w:val="22"/>
        </w:rPr>
        <w:t xml:space="preserve">    </w:t>
      </w:r>
      <w:r>
        <w:rPr>
          <w:rFonts w:asciiTheme="minorHAnsi" w:hAnsiTheme="minorHAnsi"/>
          <w:szCs w:val="22"/>
        </w:rPr>
        <w:t xml:space="preserve"> </w:t>
      </w:r>
      <w:r w:rsidRPr="00C146D7">
        <w:rPr>
          <w:rFonts w:asciiTheme="minorHAnsi" w:hAnsiTheme="minorHAnsi"/>
          <w:b/>
          <w:szCs w:val="22"/>
        </w:rPr>
        <w:t>/-/ Rafał Trzaskowski</w:t>
      </w:r>
    </w:p>
    <w:p w14:paraId="24B178EC" w14:textId="77777777" w:rsidR="00594614" w:rsidRPr="00C146D7" w:rsidRDefault="00594614" w:rsidP="00594614">
      <w:pPr>
        <w:rPr>
          <w:rFonts w:asciiTheme="minorHAnsi" w:hAnsiTheme="minorHAnsi"/>
          <w:b/>
          <w:szCs w:val="22"/>
        </w:rPr>
      </w:pPr>
    </w:p>
    <w:p w14:paraId="40DF83BC" w14:textId="77777777" w:rsidR="00594614" w:rsidRDefault="00594614" w:rsidP="00886F17">
      <w:pPr>
        <w:ind w:firstLine="567"/>
      </w:pPr>
    </w:p>
    <w:sectPr w:rsidR="00594614" w:rsidSect="007555C1">
      <w:footerReference w:type="even" r:id="rId11"/>
      <w:footerReference w:type="default" r:id="rId12"/>
      <w:headerReference w:type="first" r:id="rId13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F91F" w14:textId="77777777" w:rsidR="0001490B" w:rsidRDefault="0001490B">
      <w:r>
        <w:separator/>
      </w:r>
    </w:p>
  </w:endnote>
  <w:endnote w:type="continuationSeparator" w:id="0">
    <w:p w14:paraId="31048175" w14:textId="77777777" w:rsidR="0001490B" w:rsidRDefault="0001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4043" w14:textId="590A3D3F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94614">
      <w:rPr>
        <w:rStyle w:val="Numerstrony"/>
      </w:rPr>
      <w:fldChar w:fldCharType="separate"/>
    </w:r>
    <w:r w:rsidR="0059461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9941C62" w14:textId="77777777" w:rsidR="002E12CF" w:rsidRDefault="002E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765118"/>
      <w:docPartObj>
        <w:docPartGallery w:val="Page Numbers (Bottom of Page)"/>
        <w:docPartUnique/>
      </w:docPartObj>
    </w:sdtPr>
    <w:sdtEndPr/>
    <w:sdtContent>
      <w:p w14:paraId="15450B28" w14:textId="6FDDB8B2" w:rsidR="002E12CF" w:rsidRDefault="007F6606" w:rsidP="007F66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1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AC3C" w14:textId="77777777" w:rsidR="0001490B" w:rsidRDefault="0001490B" w:rsidP="00E85C9C">
      <w:pPr>
        <w:spacing w:after="0"/>
      </w:pPr>
      <w:r>
        <w:separator/>
      </w:r>
    </w:p>
  </w:footnote>
  <w:footnote w:type="continuationSeparator" w:id="0">
    <w:p w14:paraId="60AAD0BB" w14:textId="77777777" w:rsidR="0001490B" w:rsidRDefault="0001490B">
      <w:r>
        <w:continuationSeparator/>
      </w:r>
    </w:p>
  </w:footnote>
  <w:footnote w:id="1">
    <w:p w14:paraId="54B69946" w14:textId="2544C77D" w:rsidR="00743BF7" w:rsidRPr="00A112EC" w:rsidRDefault="00743BF7" w:rsidP="00886F17">
      <w:pPr>
        <w:spacing w:after="0"/>
        <w:rPr>
          <w:b/>
          <w:color w:val="FF0000"/>
        </w:rPr>
      </w:pPr>
      <w:r w:rsidRPr="00687942">
        <w:rPr>
          <w:rStyle w:val="Odwoanieprzypisudolnego"/>
        </w:rPr>
        <w:footnoteRef/>
      </w:r>
      <w:r w:rsidRPr="00687942">
        <w:rPr>
          <w:vertAlign w:val="superscript"/>
        </w:rPr>
        <w:t>)</w:t>
      </w:r>
      <w:r w:rsidRPr="00687942">
        <w:t xml:space="preserve"> </w:t>
      </w:r>
      <w:r w:rsidRPr="00687942">
        <w:rPr>
          <w:rFonts w:cstheme="minorHAnsi"/>
        </w:rPr>
        <w:t>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1 lipca 2008 r., nr 1919/2008 z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</w:t>
      </w:r>
      <w:r>
        <w:rPr>
          <w:rFonts w:cstheme="minorHAnsi"/>
        </w:rPr>
        <w:t xml:space="preserve">2/2009 z 26 czerwca 2009 r., nr </w:t>
      </w:r>
      <w:r w:rsidRPr="00687942">
        <w:rPr>
          <w:rFonts w:cstheme="minorHAnsi"/>
        </w:rPr>
        <w:t>3259/2009 z 29 czerwca 2009 r., nr 3328/2009 z 14 l</w:t>
      </w:r>
      <w:r>
        <w:rPr>
          <w:rFonts w:cstheme="minorHAnsi"/>
        </w:rPr>
        <w:t xml:space="preserve">ipca 2009 r., nr 3573/2009 z 20 </w:t>
      </w:r>
      <w:r w:rsidRPr="00687942">
        <w:rPr>
          <w:rFonts w:cstheme="minorHAnsi"/>
        </w:rPr>
        <w:t>sierpnia 2009 r., nr 3606/2009 z 1 września 2009 r., nr 3916/2009 z 4 grudnia 2009 r. i nr 4009/2009 z 30 grudnia 2009 r., nr 4175/2010 z 5 lutego 2010 r., nr 4210/2010 z 17 lutego 2010 r., nr 4399/2010 z 1 kwietnia 2010 r., nr 4486</w:t>
      </w:r>
      <w:r>
        <w:rPr>
          <w:rFonts w:cstheme="minorHAnsi"/>
        </w:rPr>
        <w:t xml:space="preserve">/2010 z 14 kwietnia 2010 r., nr </w:t>
      </w:r>
      <w:r w:rsidRPr="00687942">
        <w:rPr>
          <w:rFonts w:cstheme="minorHAnsi"/>
        </w:rPr>
        <w:t>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r., nr 83/2020 z 28 stycznia 2020 r.,</w:t>
      </w:r>
      <w:r w:rsidRPr="00687942">
        <w:rPr>
          <w:rFonts w:cstheme="minorHAnsi"/>
          <w:bCs/>
        </w:rPr>
        <w:t xml:space="preserve"> nr 167/2020 z 10 lutego 2020 r., nr 1076/2020 z 26 sierpnia 2020 r. i nr 1280/2020 z 28 października 2020 r., nr 178/2021 z 10 lutego 2021 r., nr 475/2021 z 26 marca 2021 r.,</w:t>
      </w:r>
      <w:r w:rsidRPr="00687942">
        <w:rPr>
          <w:rFonts w:cstheme="minorHAnsi"/>
        </w:rPr>
        <w:t xml:space="preserve"> nr 1146/2021 z 16 lipca 2021 r., nr 18</w:t>
      </w:r>
      <w:r>
        <w:rPr>
          <w:rFonts w:cstheme="minorHAnsi"/>
        </w:rPr>
        <w:t>28/2021 z 18 listopada 2021 r.,</w:t>
      </w:r>
      <w:r w:rsidRPr="00687942">
        <w:rPr>
          <w:rFonts w:cstheme="minorHAnsi"/>
        </w:rPr>
        <w:t xml:space="preserve"> nr 1950/2021 r. z 9 grudnia 2021 r., nr 29/2022 z 11 stycznia 2022 r., nr 1268/2022 z 29 lipca 2022 r</w:t>
      </w:r>
      <w:r>
        <w:rPr>
          <w:rFonts w:cstheme="minorHAnsi"/>
        </w:rPr>
        <w:t>.</w:t>
      </w:r>
      <w:r w:rsidR="005537D8">
        <w:rPr>
          <w:rFonts w:cstheme="minorHAnsi"/>
        </w:rPr>
        <w:t xml:space="preserve"> i</w:t>
      </w:r>
      <w:r w:rsidRPr="00687942">
        <w:rPr>
          <w:rFonts w:cstheme="minorHAnsi"/>
        </w:rPr>
        <w:t xml:space="preserve"> nr </w:t>
      </w:r>
      <w:r>
        <w:rPr>
          <w:rFonts w:cstheme="minorHAnsi"/>
        </w:rPr>
        <w:t>1518/2022 z 30 września 2022 r.</w:t>
      </w:r>
      <w:r w:rsidR="008C27E3">
        <w:rPr>
          <w:rFonts w:cstheme="minorHAnsi"/>
        </w:rPr>
        <w:t xml:space="preserve"> oraz</w:t>
      </w:r>
      <w:r w:rsidRPr="00A112EC">
        <w:rPr>
          <w:rFonts w:cstheme="minorHAnsi"/>
        </w:rPr>
        <w:t xml:space="preserve"> </w:t>
      </w:r>
      <w:r w:rsidRPr="00A112EC">
        <w:t xml:space="preserve">nr 22/2023 z 9 stycznia 2023 r., </w:t>
      </w:r>
      <w:r>
        <w:t>nr 167/2023 z 1 lutego 2023 r.,</w:t>
      </w:r>
      <w:r w:rsidRPr="00A112EC">
        <w:t xml:space="preserve"> nr 812/2023 z 9 maja 2023 r.</w:t>
      </w:r>
      <w:r>
        <w:t xml:space="preserve"> </w:t>
      </w:r>
      <w:r w:rsidR="008C27E3">
        <w:t xml:space="preserve">i </w:t>
      </w:r>
      <w:r>
        <w:t>nr 1217/2023 z 20 lipca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30B3" w14:textId="37C6F102" w:rsidR="00594614" w:rsidRDefault="00594614">
    <w:pPr>
      <w:pStyle w:val="Nagwek"/>
    </w:pPr>
    <w:r>
      <w:t>GP-OR.0050.1754.2023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6C7CFA"/>
    <w:multiLevelType w:val="hybridMultilevel"/>
    <w:tmpl w:val="AE349F5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B7231"/>
    <w:multiLevelType w:val="hybridMultilevel"/>
    <w:tmpl w:val="FD8A2E82"/>
    <w:lvl w:ilvl="0" w:tplc="C5A4C3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404FDC"/>
    <w:multiLevelType w:val="hybridMultilevel"/>
    <w:tmpl w:val="ACE2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6217"/>
    <w:multiLevelType w:val="hybridMultilevel"/>
    <w:tmpl w:val="C8CCBEF4"/>
    <w:lvl w:ilvl="0" w:tplc="3830FA24">
      <w:start w:val="1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20F604">
      <w:start w:val="4"/>
      <w:numFmt w:val="lowerLetter"/>
      <w:lvlText w:val="%2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E400E">
      <w:start w:val="1"/>
      <w:numFmt w:val="lowerLetter"/>
      <w:lvlText w:val="%3)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61E28">
      <w:start w:val="7"/>
      <w:numFmt w:val="lowerLetter"/>
      <w:lvlText w:val="%4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D89C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A3918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E14DE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A9E86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83144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833F86"/>
    <w:multiLevelType w:val="hybridMultilevel"/>
    <w:tmpl w:val="80E2CACC"/>
    <w:lvl w:ilvl="0" w:tplc="02FE0E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5493A"/>
    <w:multiLevelType w:val="hybridMultilevel"/>
    <w:tmpl w:val="056071F6"/>
    <w:lvl w:ilvl="0" w:tplc="88BADDE0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4766D"/>
    <w:multiLevelType w:val="hybridMultilevel"/>
    <w:tmpl w:val="B608016A"/>
    <w:lvl w:ilvl="0" w:tplc="2D80EB0C">
      <w:start w:val="1"/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2C577FD"/>
    <w:multiLevelType w:val="hybridMultilevel"/>
    <w:tmpl w:val="8F5E788C"/>
    <w:lvl w:ilvl="0" w:tplc="6D1C2BCA">
      <w:start w:val="1"/>
      <w:numFmt w:val="bullet"/>
      <w:lvlText w:val="=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C2BCA">
      <w:start w:val="1"/>
      <w:numFmt w:val="bullet"/>
      <w:lvlText w:val="=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8873598"/>
    <w:multiLevelType w:val="hybridMultilevel"/>
    <w:tmpl w:val="D49044EC"/>
    <w:lvl w:ilvl="0" w:tplc="6D1C2BCA">
      <w:start w:val="1"/>
      <w:numFmt w:val="bullet"/>
      <w:lvlText w:val="=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0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81600"/>
    <w:multiLevelType w:val="hybridMultilevel"/>
    <w:tmpl w:val="49B4F4F4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002A2"/>
    <w:multiLevelType w:val="hybridMultilevel"/>
    <w:tmpl w:val="3A10FB36"/>
    <w:lvl w:ilvl="0" w:tplc="E20A2A5E">
      <w:start w:val="7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063939769">
    <w:abstractNumId w:val="17"/>
  </w:num>
  <w:num w:numId="2" w16cid:durableId="1076780213">
    <w:abstractNumId w:val="17"/>
  </w:num>
  <w:num w:numId="3" w16cid:durableId="195195956">
    <w:abstractNumId w:val="11"/>
  </w:num>
  <w:num w:numId="4" w16cid:durableId="1054157428">
    <w:abstractNumId w:val="16"/>
  </w:num>
  <w:num w:numId="5" w16cid:durableId="557593830">
    <w:abstractNumId w:val="0"/>
  </w:num>
  <w:num w:numId="6" w16cid:durableId="1421101243">
    <w:abstractNumId w:val="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3037577">
    <w:abstractNumId w:val="2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568733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5110740">
    <w:abstractNumId w:val="22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1661832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2052150">
    <w:abstractNumId w:val="1"/>
  </w:num>
  <w:num w:numId="12" w16cid:durableId="1177887845">
    <w:abstractNumId w:val="15"/>
  </w:num>
  <w:num w:numId="13" w16cid:durableId="1560703339">
    <w:abstractNumId w:val="6"/>
  </w:num>
  <w:num w:numId="14" w16cid:durableId="1900556876">
    <w:abstractNumId w:val="19"/>
  </w:num>
  <w:num w:numId="15" w16cid:durableId="1085807407">
    <w:abstractNumId w:val="3"/>
  </w:num>
  <w:num w:numId="16" w16cid:durableId="1410880987">
    <w:abstractNumId w:val="5"/>
  </w:num>
  <w:num w:numId="17" w16cid:durableId="665211115">
    <w:abstractNumId w:val="4"/>
  </w:num>
  <w:num w:numId="18" w16cid:durableId="146555266">
    <w:abstractNumId w:val="12"/>
  </w:num>
  <w:num w:numId="19" w16cid:durableId="1848447482">
    <w:abstractNumId w:val="18"/>
  </w:num>
  <w:num w:numId="20" w16cid:durableId="1531141888">
    <w:abstractNumId w:val="7"/>
  </w:num>
  <w:num w:numId="21" w16cid:durableId="1045713859">
    <w:abstractNumId w:val="23"/>
  </w:num>
  <w:num w:numId="22" w16cid:durableId="1696274296">
    <w:abstractNumId w:val="13"/>
  </w:num>
  <w:num w:numId="23" w16cid:durableId="1632783772">
    <w:abstractNumId w:val="2"/>
  </w:num>
  <w:num w:numId="24" w16cid:durableId="220756450">
    <w:abstractNumId w:val="10"/>
  </w:num>
  <w:num w:numId="25" w16cid:durableId="320623323">
    <w:abstractNumId w:val="8"/>
  </w:num>
  <w:num w:numId="26" w16cid:durableId="183146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08"/>
    <w:rsid w:val="00004562"/>
    <w:rsid w:val="000069C8"/>
    <w:rsid w:val="0001490B"/>
    <w:rsid w:val="00021296"/>
    <w:rsid w:val="00027519"/>
    <w:rsid w:val="00032C9A"/>
    <w:rsid w:val="00045569"/>
    <w:rsid w:val="00045F49"/>
    <w:rsid w:val="00046E39"/>
    <w:rsid w:val="00051C4E"/>
    <w:rsid w:val="00053274"/>
    <w:rsid w:val="00077DF4"/>
    <w:rsid w:val="00094772"/>
    <w:rsid w:val="000A73D4"/>
    <w:rsid w:val="000B2B6D"/>
    <w:rsid w:val="000C2F52"/>
    <w:rsid w:val="000D301D"/>
    <w:rsid w:val="000D4C22"/>
    <w:rsid w:val="000E5F48"/>
    <w:rsid w:val="000E62D0"/>
    <w:rsid w:val="000F7C18"/>
    <w:rsid w:val="001128B5"/>
    <w:rsid w:val="00114347"/>
    <w:rsid w:val="00131068"/>
    <w:rsid w:val="00133EBF"/>
    <w:rsid w:val="001340D5"/>
    <w:rsid w:val="00140C8A"/>
    <w:rsid w:val="00154296"/>
    <w:rsid w:val="001548AF"/>
    <w:rsid w:val="00162803"/>
    <w:rsid w:val="0016449B"/>
    <w:rsid w:val="00170CFD"/>
    <w:rsid w:val="0018129F"/>
    <w:rsid w:val="00184FA7"/>
    <w:rsid w:val="0018554A"/>
    <w:rsid w:val="001A5F75"/>
    <w:rsid w:val="001C0354"/>
    <w:rsid w:val="001C34A5"/>
    <w:rsid w:val="001C5AFE"/>
    <w:rsid w:val="001C656F"/>
    <w:rsid w:val="001C77B5"/>
    <w:rsid w:val="001F466A"/>
    <w:rsid w:val="001F7A7F"/>
    <w:rsid w:val="00202108"/>
    <w:rsid w:val="00212C09"/>
    <w:rsid w:val="0021368D"/>
    <w:rsid w:val="00213E0D"/>
    <w:rsid w:val="0022351D"/>
    <w:rsid w:val="00230345"/>
    <w:rsid w:val="00234E7F"/>
    <w:rsid w:val="00267FAA"/>
    <w:rsid w:val="00281F21"/>
    <w:rsid w:val="002928E9"/>
    <w:rsid w:val="002931F0"/>
    <w:rsid w:val="002A28A7"/>
    <w:rsid w:val="002A581D"/>
    <w:rsid w:val="002C2BAF"/>
    <w:rsid w:val="002C6828"/>
    <w:rsid w:val="002D7267"/>
    <w:rsid w:val="002D7400"/>
    <w:rsid w:val="002E12CF"/>
    <w:rsid w:val="002E6383"/>
    <w:rsid w:val="0030112A"/>
    <w:rsid w:val="0030137C"/>
    <w:rsid w:val="0033409F"/>
    <w:rsid w:val="00337FB0"/>
    <w:rsid w:val="00344CF0"/>
    <w:rsid w:val="0036580A"/>
    <w:rsid w:val="0037144B"/>
    <w:rsid w:val="00395FCD"/>
    <w:rsid w:val="003B0906"/>
    <w:rsid w:val="003B3E41"/>
    <w:rsid w:val="003B4B27"/>
    <w:rsid w:val="003D391E"/>
    <w:rsid w:val="003F4B03"/>
    <w:rsid w:val="0040494C"/>
    <w:rsid w:val="004102E7"/>
    <w:rsid w:val="00413AA4"/>
    <w:rsid w:val="00417396"/>
    <w:rsid w:val="00430ED1"/>
    <w:rsid w:val="00441773"/>
    <w:rsid w:val="00441E35"/>
    <w:rsid w:val="00443DCB"/>
    <w:rsid w:val="004630B9"/>
    <w:rsid w:val="00463FA6"/>
    <w:rsid w:val="004676BE"/>
    <w:rsid w:val="00493D73"/>
    <w:rsid w:val="00495279"/>
    <w:rsid w:val="00496A4A"/>
    <w:rsid w:val="004B202B"/>
    <w:rsid w:val="004B619D"/>
    <w:rsid w:val="004D1EB7"/>
    <w:rsid w:val="004D4779"/>
    <w:rsid w:val="004F2BFF"/>
    <w:rsid w:val="004F3B3A"/>
    <w:rsid w:val="004F3C50"/>
    <w:rsid w:val="004F440A"/>
    <w:rsid w:val="004F7746"/>
    <w:rsid w:val="004F7C7E"/>
    <w:rsid w:val="00500704"/>
    <w:rsid w:val="00504BE3"/>
    <w:rsid w:val="005054EC"/>
    <w:rsid w:val="00507A79"/>
    <w:rsid w:val="005167BC"/>
    <w:rsid w:val="00523C77"/>
    <w:rsid w:val="00526AA6"/>
    <w:rsid w:val="00545F8D"/>
    <w:rsid w:val="00546A1D"/>
    <w:rsid w:val="005537D8"/>
    <w:rsid w:val="00560884"/>
    <w:rsid w:val="005827E3"/>
    <w:rsid w:val="00586270"/>
    <w:rsid w:val="00594614"/>
    <w:rsid w:val="005A3C8A"/>
    <w:rsid w:val="005B10B1"/>
    <w:rsid w:val="005B39B7"/>
    <w:rsid w:val="005B5238"/>
    <w:rsid w:val="005C05D7"/>
    <w:rsid w:val="005D1467"/>
    <w:rsid w:val="005F6E3F"/>
    <w:rsid w:val="00604075"/>
    <w:rsid w:val="0060670D"/>
    <w:rsid w:val="00607ABC"/>
    <w:rsid w:val="00611BA5"/>
    <w:rsid w:val="00613FEE"/>
    <w:rsid w:val="0061635F"/>
    <w:rsid w:val="00616BEB"/>
    <w:rsid w:val="00617BCE"/>
    <w:rsid w:val="0064768E"/>
    <w:rsid w:val="0068153F"/>
    <w:rsid w:val="00685F22"/>
    <w:rsid w:val="00685F47"/>
    <w:rsid w:val="006A20ED"/>
    <w:rsid w:val="006A736C"/>
    <w:rsid w:val="006B59F2"/>
    <w:rsid w:val="006C47E2"/>
    <w:rsid w:val="006C5C47"/>
    <w:rsid w:val="006C5F01"/>
    <w:rsid w:val="006E692A"/>
    <w:rsid w:val="00700966"/>
    <w:rsid w:val="00701A16"/>
    <w:rsid w:val="00702159"/>
    <w:rsid w:val="0071463B"/>
    <w:rsid w:val="00722DED"/>
    <w:rsid w:val="00727AFE"/>
    <w:rsid w:val="00727CBC"/>
    <w:rsid w:val="00731CCD"/>
    <w:rsid w:val="00734BC6"/>
    <w:rsid w:val="00735DC3"/>
    <w:rsid w:val="00741DED"/>
    <w:rsid w:val="00743BF7"/>
    <w:rsid w:val="007555C1"/>
    <w:rsid w:val="00760B17"/>
    <w:rsid w:val="007643BA"/>
    <w:rsid w:val="00771439"/>
    <w:rsid w:val="00793C58"/>
    <w:rsid w:val="00794678"/>
    <w:rsid w:val="007951AC"/>
    <w:rsid w:val="007D090F"/>
    <w:rsid w:val="007E34FC"/>
    <w:rsid w:val="007E5B5E"/>
    <w:rsid w:val="007F0C99"/>
    <w:rsid w:val="007F4E55"/>
    <w:rsid w:val="007F6606"/>
    <w:rsid w:val="007F73E6"/>
    <w:rsid w:val="00805717"/>
    <w:rsid w:val="00820B7C"/>
    <w:rsid w:val="00851A22"/>
    <w:rsid w:val="00851E8D"/>
    <w:rsid w:val="00860BFB"/>
    <w:rsid w:val="00866DCE"/>
    <w:rsid w:val="00867D79"/>
    <w:rsid w:val="0088538E"/>
    <w:rsid w:val="00886F17"/>
    <w:rsid w:val="00895D92"/>
    <w:rsid w:val="008B09B4"/>
    <w:rsid w:val="008B3DA9"/>
    <w:rsid w:val="008B6A50"/>
    <w:rsid w:val="008C1AE8"/>
    <w:rsid w:val="008C27E3"/>
    <w:rsid w:val="008C6218"/>
    <w:rsid w:val="008C742A"/>
    <w:rsid w:val="008D7EE2"/>
    <w:rsid w:val="008E0E3B"/>
    <w:rsid w:val="008E77D2"/>
    <w:rsid w:val="008F47A0"/>
    <w:rsid w:val="00927F6F"/>
    <w:rsid w:val="00942EC5"/>
    <w:rsid w:val="00945675"/>
    <w:rsid w:val="0096146B"/>
    <w:rsid w:val="00982738"/>
    <w:rsid w:val="00987836"/>
    <w:rsid w:val="00997621"/>
    <w:rsid w:val="009A7044"/>
    <w:rsid w:val="009A76CC"/>
    <w:rsid w:val="009C65C4"/>
    <w:rsid w:val="009D3FCE"/>
    <w:rsid w:val="009D4733"/>
    <w:rsid w:val="009D7EE0"/>
    <w:rsid w:val="009D7F10"/>
    <w:rsid w:val="009E0C33"/>
    <w:rsid w:val="009E5119"/>
    <w:rsid w:val="009E7E1A"/>
    <w:rsid w:val="00A004EF"/>
    <w:rsid w:val="00A15AE2"/>
    <w:rsid w:val="00A35C84"/>
    <w:rsid w:val="00A411AC"/>
    <w:rsid w:val="00A50B35"/>
    <w:rsid w:val="00A62158"/>
    <w:rsid w:val="00A6418F"/>
    <w:rsid w:val="00A711D6"/>
    <w:rsid w:val="00A7700E"/>
    <w:rsid w:val="00A80A64"/>
    <w:rsid w:val="00A80ADF"/>
    <w:rsid w:val="00A8511B"/>
    <w:rsid w:val="00A94980"/>
    <w:rsid w:val="00A951C8"/>
    <w:rsid w:val="00AA662D"/>
    <w:rsid w:val="00AB7306"/>
    <w:rsid w:val="00AC6D56"/>
    <w:rsid w:val="00AD2148"/>
    <w:rsid w:val="00AD2860"/>
    <w:rsid w:val="00AD6914"/>
    <w:rsid w:val="00AE0471"/>
    <w:rsid w:val="00AE130E"/>
    <w:rsid w:val="00B10B51"/>
    <w:rsid w:val="00B141DD"/>
    <w:rsid w:val="00B207BA"/>
    <w:rsid w:val="00B26DCD"/>
    <w:rsid w:val="00B31CC0"/>
    <w:rsid w:val="00B32667"/>
    <w:rsid w:val="00B33F69"/>
    <w:rsid w:val="00B35308"/>
    <w:rsid w:val="00B362F5"/>
    <w:rsid w:val="00B37F37"/>
    <w:rsid w:val="00B46B1C"/>
    <w:rsid w:val="00B55ACA"/>
    <w:rsid w:val="00B70C93"/>
    <w:rsid w:val="00B73093"/>
    <w:rsid w:val="00B76998"/>
    <w:rsid w:val="00B8229B"/>
    <w:rsid w:val="00B84292"/>
    <w:rsid w:val="00B92752"/>
    <w:rsid w:val="00BA2B1A"/>
    <w:rsid w:val="00BC1097"/>
    <w:rsid w:val="00BC182B"/>
    <w:rsid w:val="00BC2790"/>
    <w:rsid w:val="00BC680A"/>
    <w:rsid w:val="00BD2427"/>
    <w:rsid w:val="00BF0BBF"/>
    <w:rsid w:val="00C00EAE"/>
    <w:rsid w:val="00C070AD"/>
    <w:rsid w:val="00C1459C"/>
    <w:rsid w:val="00C205D0"/>
    <w:rsid w:val="00C30AB6"/>
    <w:rsid w:val="00C446C2"/>
    <w:rsid w:val="00C56878"/>
    <w:rsid w:val="00C6319C"/>
    <w:rsid w:val="00C63FE2"/>
    <w:rsid w:val="00C747CC"/>
    <w:rsid w:val="00C755D1"/>
    <w:rsid w:val="00C8500E"/>
    <w:rsid w:val="00CB3135"/>
    <w:rsid w:val="00CB3D6C"/>
    <w:rsid w:val="00CB3DF4"/>
    <w:rsid w:val="00CB637E"/>
    <w:rsid w:val="00CB79CB"/>
    <w:rsid w:val="00CD3E93"/>
    <w:rsid w:val="00CD59C2"/>
    <w:rsid w:val="00CE4C13"/>
    <w:rsid w:val="00CF6976"/>
    <w:rsid w:val="00D123B2"/>
    <w:rsid w:val="00D1405F"/>
    <w:rsid w:val="00D22945"/>
    <w:rsid w:val="00D27F5B"/>
    <w:rsid w:val="00D43D06"/>
    <w:rsid w:val="00D47D62"/>
    <w:rsid w:val="00D51433"/>
    <w:rsid w:val="00D53770"/>
    <w:rsid w:val="00D65CA7"/>
    <w:rsid w:val="00D74229"/>
    <w:rsid w:val="00D77BEB"/>
    <w:rsid w:val="00D91688"/>
    <w:rsid w:val="00DA22D6"/>
    <w:rsid w:val="00DA33C7"/>
    <w:rsid w:val="00DC0805"/>
    <w:rsid w:val="00DD14F3"/>
    <w:rsid w:val="00DD7200"/>
    <w:rsid w:val="00DF0B70"/>
    <w:rsid w:val="00DF1610"/>
    <w:rsid w:val="00DF4656"/>
    <w:rsid w:val="00DF745C"/>
    <w:rsid w:val="00E02D28"/>
    <w:rsid w:val="00E041A9"/>
    <w:rsid w:val="00E05F9A"/>
    <w:rsid w:val="00E158F3"/>
    <w:rsid w:val="00E168BB"/>
    <w:rsid w:val="00E23749"/>
    <w:rsid w:val="00E27F37"/>
    <w:rsid w:val="00E32764"/>
    <w:rsid w:val="00E45431"/>
    <w:rsid w:val="00E45AAF"/>
    <w:rsid w:val="00E54FFB"/>
    <w:rsid w:val="00E638FA"/>
    <w:rsid w:val="00E6795E"/>
    <w:rsid w:val="00E7398B"/>
    <w:rsid w:val="00E82E80"/>
    <w:rsid w:val="00E85C9C"/>
    <w:rsid w:val="00E91198"/>
    <w:rsid w:val="00E96AA7"/>
    <w:rsid w:val="00EA12C2"/>
    <w:rsid w:val="00EB276E"/>
    <w:rsid w:val="00EB3C36"/>
    <w:rsid w:val="00EC1E32"/>
    <w:rsid w:val="00EC681B"/>
    <w:rsid w:val="00F164CC"/>
    <w:rsid w:val="00F16D6F"/>
    <w:rsid w:val="00F31026"/>
    <w:rsid w:val="00F36954"/>
    <w:rsid w:val="00F46046"/>
    <w:rsid w:val="00F50880"/>
    <w:rsid w:val="00F50BD7"/>
    <w:rsid w:val="00F57727"/>
    <w:rsid w:val="00F637C8"/>
    <w:rsid w:val="00F711F6"/>
    <w:rsid w:val="00F93ED8"/>
    <w:rsid w:val="00FB326A"/>
    <w:rsid w:val="00FB5959"/>
    <w:rsid w:val="00FE23EC"/>
    <w:rsid w:val="00FE668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7E44"/>
  <w15:chartTrackingRefBased/>
  <w15:docId w15:val="{0A3D6303-4DC1-45D7-BFE9-A44B75F1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692A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6E692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6E692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6E692A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link w:val="BezodstpwZnak"/>
    <w:uiPriority w:val="3"/>
    <w:qFormat/>
    <w:rsid w:val="006E692A"/>
    <w:pPr>
      <w:spacing w:after="160" w:line="259" w:lineRule="auto"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5"/>
    <w:qFormat/>
    <w:rsid w:val="006E692A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2E12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2CF"/>
  </w:style>
  <w:style w:type="paragraph" w:styleId="Tytu">
    <w:name w:val="Title"/>
    <w:basedOn w:val="Normalny"/>
    <w:next w:val="Normalny"/>
    <w:link w:val="TytuZnak"/>
    <w:rsid w:val="00700966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700966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6E692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E8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5C9C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5C9C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4"/>
    <w:qFormat/>
    <w:rsid w:val="006E692A"/>
    <w:pPr>
      <w:contextualSpacing/>
    </w:pPr>
  </w:style>
  <w:style w:type="character" w:customStyle="1" w:styleId="BezodstpwZnak">
    <w:name w:val="Bez odstępów Znak"/>
    <w:basedOn w:val="Domylnaczcionkaakapitu"/>
    <w:link w:val="Bezodstpw"/>
    <w:uiPriority w:val="3"/>
    <w:rsid w:val="006E692A"/>
    <w:rPr>
      <w:rFonts w:ascii="Calibri" w:hAnsi="Calibri" w:cs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2"/>
    <w:rsid w:val="006E692A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6E692A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6E692A"/>
    <w:rPr>
      <w:rFonts w:ascii="Calibri" w:hAnsi="Calibri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60670D"/>
    <w:pPr>
      <w:spacing w:line="259" w:lineRule="auto"/>
      <w:ind w:left="14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0670D"/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493D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3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3D73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3D7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80cdd4-48f3-454d-9b65-ffd1076fcc78">
      <UserInfo>
        <DisplayName>Wiącek-Piechowicz Ewelina</DisplayName>
        <AccountId>185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61B1A1-2525-485D-BD32-7274CB3BC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85591-AD7F-461D-82C0-049792F02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E4DEE-A0CA-46F7-9870-25D6888CF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43949-9A42-4E0C-ABD7-A361540E5DD7}">
  <ds:schemaRefs>
    <ds:schemaRef ds:uri="http://schemas.microsoft.com/office/2006/metadata/properties"/>
    <ds:schemaRef ds:uri="http://schemas.microsoft.com/office/infopath/2007/PartnerControls"/>
    <ds:schemaRef ds:uri="2680cdd4-48f3-454d-9b65-ffd1076fc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m.st. Warszawy zmieniające zarządzenie w sprawie nadania regulaminu organizacyjnego Urzędu m.st. Warszawy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m.st. Warszawy zmieniające zarządzenie w sprawie nadania regulaminu organizacyjnego Urzędu m.st. Warszawy</dc:title>
  <dc:subject/>
  <dc:creator>Wojciechowicz Agnieszka (GP)</dc:creator>
  <cp:keywords/>
  <dc:description/>
  <cp:lastModifiedBy>Gładysz Marta (GP)</cp:lastModifiedBy>
  <cp:revision>2</cp:revision>
  <cp:lastPrinted>2023-11-24T11:38:00Z</cp:lastPrinted>
  <dcterms:created xsi:type="dcterms:W3CDTF">2023-11-30T13:18:00Z</dcterms:created>
  <dcterms:modified xsi:type="dcterms:W3CDTF">2023-11-30T13:18:00Z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