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57D2" w14:textId="4237C8BC" w:rsidR="00E85EB8" w:rsidRPr="00DA4F5F" w:rsidRDefault="00E85EB8" w:rsidP="00E85EB8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A4F5F">
        <w:rPr>
          <w:rFonts w:ascii="Calibri" w:eastAsia="Times New Roman" w:hAnsi="Calibri" w:cs="Calibri"/>
          <w:b/>
          <w:bCs/>
          <w:lang w:eastAsia="pl-PL"/>
        </w:rPr>
        <w:t xml:space="preserve">ZARZĄDZENIE NR </w:t>
      </w:r>
      <w:r w:rsidR="00BB279B">
        <w:rPr>
          <w:rFonts w:ascii="Calibri" w:eastAsia="Times New Roman" w:hAnsi="Calibri" w:cs="Calibri"/>
          <w:b/>
          <w:bCs/>
          <w:lang w:eastAsia="pl-PL"/>
        </w:rPr>
        <w:t>1828</w:t>
      </w:r>
      <w:r w:rsidRPr="00DA4F5F">
        <w:rPr>
          <w:rFonts w:ascii="Calibri" w:eastAsia="Times New Roman" w:hAnsi="Calibri" w:cs="Calibri"/>
          <w:b/>
          <w:bCs/>
          <w:lang w:eastAsia="pl-PL"/>
        </w:rPr>
        <w:t>/2021</w:t>
      </w:r>
    </w:p>
    <w:p w14:paraId="6EF2F225" w14:textId="77777777" w:rsidR="00E85EB8" w:rsidRPr="00DA4F5F" w:rsidRDefault="00E85EB8" w:rsidP="00E85EB8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A4F5F">
        <w:rPr>
          <w:rFonts w:ascii="Calibri" w:eastAsia="Times New Roman" w:hAnsi="Calibri" w:cs="Calibri"/>
          <w:b/>
          <w:bCs/>
          <w:lang w:eastAsia="pl-PL"/>
        </w:rPr>
        <w:t>PREZYDENTA MIASTA STOŁECZNEGO WARSZAWY</w:t>
      </w:r>
    </w:p>
    <w:p w14:paraId="794073FE" w14:textId="0176F4E7" w:rsidR="00E85EB8" w:rsidRPr="00DA4F5F" w:rsidRDefault="00E85EB8" w:rsidP="00E85EB8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DA4F5F">
        <w:rPr>
          <w:rFonts w:ascii="Calibri" w:eastAsia="Times New Roman" w:hAnsi="Calibri" w:cs="Calibri"/>
          <w:b/>
          <w:bCs/>
          <w:lang w:eastAsia="pl-PL"/>
        </w:rPr>
        <w:t xml:space="preserve">z </w:t>
      </w:r>
      <w:r w:rsidR="00BB279B">
        <w:rPr>
          <w:rFonts w:ascii="Calibri" w:eastAsia="Times New Roman" w:hAnsi="Calibri" w:cs="Calibri"/>
          <w:b/>
          <w:bCs/>
          <w:lang w:eastAsia="pl-PL"/>
        </w:rPr>
        <w:t xml:space="preserve">18 listopada </w:t>
      </w:r>
      <w:r w:rsidRPr="00DA4F5F">
        <w:rPr>
          <w:rFonts w:ascii="Calibri" w:eastAsia="Times New Roman" w:hAnsi="Calibri" w:cs="Calibri"/>
          <w:b/>
          <w:bCs/>
          <w:lang w:eastAsia="pl-PL"/>
        </w:rPr>
        <w:t>2021 r.</w:t>
      </w:r>
    </w:p>
    <w:p w14:paraId="38AECF89" w14:textId="77777777" w:rsidR="00E85EB8" w:rsidRPr="00DA4F5F" w:rsidRDefault="00E85EB8" w:rsidP="00E85EB8">
      <w:pPr>
        <w:shd w:val="clear" w:color="auto" w:fill="FFFFFF"/>
        <w:spacing w:after="24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DA4F5F">
        <w:rPr>
          <w:rFonts w:ascii="Calibri" w:eastAsia="Times New Roman" w:hAnsi="Calibri" w:cs="Calibri"/>
          <w:b/>
          <w:lang w:eastAsia="pl-PL"/>
        </w:rPr>
        <w:t>zmieniające zarządzenie w sprawie nadania regulaminu organizacyjnego Urzędu miasta stołecznego Warszawy</w:t>
      </w:r>
    </w:p>
    <w:p w14:paraId="255C82C7" w14:textId="1D13D3C8" w:rsidR="00E85EB8" w:rsidRPr="00DA4F5F" w:rsidRDefault="00E85EB8" w:rsidP="00E85EB8">
      <w:pPr>
        <w:spacing w:after="240" w:line="300" w:lineRule="auto"/>
        <w:rPr>
          <w:rFonts w:ascii="Calibri" w:eastAsia="Times New Roman" w:hAnsi="Calibri" w:cs="Calibri"/>
          <w:iCs/>
          <w:lang w:eastAsia="pl-PL"/>
        </w:rPr>
      </w:pPr>
      <w:r w:rsidRPr="00DA4F5F">
        <w:rPr>
          <w:rFonts w:ascii="Calibri" w:eastAsia="Times New Roman" w:hAnsi="Calibri" w:cs="Calibri"/>
          <w:iCs/>
          <w:lang w:eastAsia="pl-PL"/>
        </w:rPr>
        <w:t>Na podstawie art. 33 ust. 2 w związku z art. 11a ust. 3 ustawy z dnia 8 marca 1990 r. o samorządzie gminnym (</w:t>
      </w:r>
      <w:r w:rsidRPr="00C83A93">
        <w:rPr>
          <w:rFonts w:cstheme="minorHAnsi"/>
        </w:rPr>
        <w:t xml:space="preserve">Dz. </w:t>
      </w:r>
      <w:r>
        <w:rPr>
          <w:rFonts w:cstheme="minorHAnsi"/>
        </w:rPr>
        <w:t>U. z 2021</w:t>
      </w:r>
      <w:r w:rsidRPr="00C83A93">
        <w:rPr>
          <w:rFonts w:cstheme="minorHAnsi"/>
        </w:rPr>
        <w:t xml:space="preserve"> r</w:t>
      </w:r>
      <w:r>
        <w:rPr>
          <w:rFonts w:cstheme="minorHAnsi"/>
        </w:rPr>
        <w:t>. poz. 1372</w:t>
      </w:r>
      <w:r w:rsidR="00A34C6C">
        <w:rPr>
          <w:rFonts w:cstheme="minorHAnsi"/>
        </w:rPr>
        <w:t xml:space="preserve"> i 1834</w:t>
      </w:r>
      <w:r w:rsidRPr="00DA4F5F">
        <w:rPr>
          <w:rFonts w:ascii="Calibri" w:eastAsia="Times New Roman" w:hAnsi="Calibri" w:cs="Calibri"/>
          <w:iCs/>
          <w:lang w:eastAsia="pl-PL"/>
        </w:rPr>
        <w:t>) zarządza się, co następuje:</w:t>
      </w:r>
    </w:p>
    <w:p w14:paraId="6911D51F" w14:textId="77777777" w:rsidR="00E85EB8" w:rsidRPr="00ED7496" w:rsidRDefault="00E85EB8" w:rsidP="00E85EB8">
      <w:pPr>
        <w:spacing w:line="300" w:lineRule="auto"/>
        <w:ind w:firstLine="567"/>
        <w:rPr>
          <w:rFonts w:eastAsia="Times New Roman"/>
          <w:lang w:val="en-US" w:eastAsia="pl-PL"/>
        </w:rPr>
      </w:pPr>
      <w:r w:rsidRPr="7AAAD7C8">
        <w:rPr>
          <w:rFonts w:eastAsia="Times New Roman"/>
          <w:b/>
          <w:bCs/>
          <w:lang w:val="en-US" w:eastAsia="pl-PL"/>
        </w:rPr>
        <w:t xml:space="preserve">§ 1. </w:t>
      </w:r>
      <w:r w:rsidRPr="7AAAD7C8">
        <w:rPr>
          <w:rFonts w:eastAsia="Times New Roman"/>
          <w:lang w:val="en-US" w:eastAsia="pl-PL"/>
        </w:rPr>
        <w:t xml:space="preserve">W </w:t>
      </w:r>
      <w:proofErr w:type="spellStart"/>
      <w:r>
        <w:rPr>
          <w:rFonts w:eastAsia="Times New Roman"/>
          <w:lang w:val="en-US" w:eastAsia="pl-PL"/>
        </w:rPr>
        <w:t>załączniku</w:t>
      </w:r>
      <w:proofErr w:type="spellEnd"/>
      <w:r>
        <w:rPr>
          <w:rFonts w:eastAsia="Times New Roman"/>
          <w:lang w:val="en-US" w:eastAsia="pl-PL"/>
        </w:rPr>
        <w:t xml:space="preserve"> </w:t>
      </w:r>
      <w:r w:rsidRPr="7AAAD7C8">
        <w:rPr>
          <w:rFonts w:eastAsia="Times New Roman"/>
          <w:lang w:val="en-US" w:eastAsia="pl-PL"/>
        </w:rPr>
        <w:t>do </w:t>
      </w:r>
      <w:proofErr w:type="spellStart"/>
      <w:r w:rsidRPr="7AAAD7C8">
        <w:rPr>
          <w:rFonts w:eastAsia="Times New Roman"/>
          <w:lang w:val="en-US" w:eastAsia="pl-PL"/>
        </w:rPr>
        <w:t>zarządzenia</w:t>
      </w:r>
      <w:proofErr w:type="spellEnd"/>
      <w:r w:rsidRPr="7AAAD7C8">
        <w:rPr>
          <w:rFonts w:eastAsia="Times New Roman"/>
          <w:lang w:val="en-US" w:eastAsia="pl-PL"/>
        </w:rPr>
        <w:t xml:space="preserve"> nr 312/2007 Prezydenta Miasta </w:t>
      </w:r>
      <w:proofErr w:type="spellStart"/>
      <w:r w:rsidRPr="7AAAD7C8">
        <w:rPr>
          <w:rFonts w:eastAsia="Times New Roman"/>
          <w:lang w:val="en-US" w:eastAsia="pl-PL"/>
        </w:rPr>
        <w:t>Stołecznego</w:t>
      </w:r>
      <w:proofErr w:type="spellEnd"/>
      <w:r w:rsidRPr="7AAAD7C8">
        <w:rPr>
          <w:rFonts w:eastAsia="Times New Roman"/>
          <w:lang w:val="en-US" w:eastAsia="pl-PL"/>
        </w:rPr>
        <w:t xml:space="preserve"> Warszawy z </w:t>
      </w:r>
      <w:proofErr w:type="spellStart"/>
      <w:r w:rsidRPr="7AAAD7C8">
        <w:rPr>
          <w:rFonts w:eastAsia="Times New Roman"/>
          <w:lang w:val="en-US" w:eastAsia="pl-PL"/>
        </w:rPr>
        <w:t>dnia</w:t>
      </w:r>
      <w:proofErr w:type="spellEnd"/>
      <w:r w:rsidRPr="7AAAD7C8">
        <w:rPr>
          <w:rFonts w:eastAsia="Times New Roman"/>
          <w:lang w:val="en-US" w:eastAsia="pl-PL"/>
        </w:rPr>
        <w:t xml:space="preserve"> 4 </w:t>
      </w:r>
      <w:proofErr w:type="spellStart"/>
      <w:r w:rsidRPr="7AAAD7C8">
        <w:rPr>
          <w:rFonts w:eastAsia="Times New Roman"/>
          <w:lang w:val="en-US" w:eastAsia="pl-PL"/>
        </w:rPr>
        <w:t>kwietnia</w:t>
      </w:r>
      <w:proofErr w:type="spellEnd"/>
      <w:r w:rsidRPr="7AAAD7C8">
        <w:rPr>
          <w:rFonts w:eastAsia="Times New Roman"/>
          <w:lang w:val="en-US" w:eastAsia="pl-PL"/>
        </w:rPr>
        <w:t xml:space="preserve"> 2007 r. w </w:t>
      </w:r>
      <w:proofErr w:type="spellStart"/>
      <w:r w:rsidRPr="7AAAD7C8">
        <w:rPr>
          <w:rFonts w:eastAsia="Times New Roman"/>
          <w:lang w:val="en-US" w:eastAsia="pl-PL"/>
        </w:rPr>
        <w:t>sprawie</w:t>
      </w:r>
      <w:proofErr w:type="spellEnd"/>
      <w:r w:rsidRPr="7AAAD7C8">
        <w:rPr>
          <w:rFonts w:eastAsia="Times New Roman"/>
          <w:lang w:val="en-US" w:eastAsia="pl-PL"/>
        </w:rPr>
        <w:t xml:space="preserve"> </w:t>
      </w:r>
      <w:proofErr w:type="spellStart"/>
      <w:r w:rsidRPr="7AAAD7C8">
        <w:rPr>
          <w:rFonts w:eastAsia="Times New Roman"/>
          <w:lang w:val="en-US" w:eastAsia="pl-PL"/>
        </w:rPr>
        <w:t>nadania</w:t>
      </w:r>
      <w:proofErr w:type="spellEnd"/>
      <w:r w:rsidRPr="7AAAD7C8">
        <w:rPr>
          <w:rFonts w:eastAsia="Times New Roman"/>
          <w:lang w:val="en-US" w:eastAsia="pl-PL"/>
        </w:rPr>
        <w:t xml:space="preserve"> </w:t>
      </w:r>
      <w:proofErr w:type="spellStart"/>
      <w:r w:rsidRPr="7AAAD7C8">
        <w:rPr>
          <w:rFonts w:eastAsia="Times New Roman"/>
          <w:lang w:val="en-US" w:eastAsia="pl-PL"/>
        </w:rPr>
        <w:t>regulaminu</w:t>
      </w:r>
      <w:proofErr w:type="spellEnd"/>
      <w:r w:rsidRPr="7AAAD7C8">
        <w:rPr>
          <w:rFonts w:eastAsia="Times New Roman"/>
          <w:lang w:val="en-US" w:eastAsia="pl-PL"/>
        </w:rPr>
        <w:t xml:space="preserve"> </w:t>
      </w:r>
      <w:proofErr w:type="spellStart"/>
      <w:r w:rsidRPr="7AAAD7C8">
        <w:rPr>
          <w:rFonts w:eastAsia="Times New Roman"/>
          <w:lang w:val="en-US" w:eastAsia="pl-PL"/>
        </w:rPr>
        <w:t>organizacyjnego</w:t>
      </w:r>
      <w:proofErr w:type="spellEnd"/>
      <w:r w:rsidRPr="7AAAD7C8">
        <w:rPr>
          <w:rFonts w:eastAsia="Times New Roman"/>
          <w:lang w:val="en-US" w:eastAsia="pl-PL"/>
        </w:rPr>
        <w:t xml:space="preserve"> </w:t>
      </w:r>
      <w:proofErr w:type="spellStart"/>
      <w:r w:rsidRPr="7AAAD7C8">
        <w:rPr>
          <w:rFonts w:eastAsia="Times New Roman"/>
          <w:lang w:val="en-US" w:eastAsia="pl-PL"/>
        </w:rPr>
        <w:t>Urzędu</w:t>
      </w:r>
      <w:proofErr w:type="spellEnd"/>
      <w:r w:rsidRPr="7AAAD7C8">
        <w:rPr>
          <w:rFonts w:eastAsia="Times New Roman"/>
          <w:lang w:val="en-US" w:eastAsia="pl-PL"/>
        </w:rPr>
        <w:t xml:space="preserve"> </w:t>
      </w:r>
      <w:proofErr w:type="spellStart"/>
      <w:r w:rsidRPr="7AAAD7C8">
        <w:rPr>
          <w:rFonts w:eastAsia="Times New Roman"/>
          <w:lang w:val="en-US" w:eastAsia="pl-PL"/>
        </w:rPr>
        <w:t>miasta</w:t>
      </w:r>
      <w:proofErr w:type="spellEnd"/>
      <w:r w:rsidRPr="7AAAD7C8">
        <w:rPr>
          <w:rFonts w:eastAsia="Times New Roman"/>
          <w:lang w:val="en-US" w:eastAsia="pl-PL"/>
        </w:rPr>
        <w:t xml:space="preserve"> </w:t>
      </w:r>
      <w:proofErr w:type="spellStart"/>
      <w:r w:rsidRPr="7AAAD7C8">
        <w:rPr>
          <w:rFonts w:eastAsia="Times New Roman"/>
          <w:lang w:val="en-US" w:eastAsia="pl-PL"/>
        </w:rPr>
        <w:t>stołecznego</w:t>
      </w:r>
      <w:proofErr w:type="spellEnd"/>
      <w:r w:rsidRPr="7AAAD7C8">
        <w:rPr>
          <w:rFonts w:eastAsia="Times New Roman"/>
          <w:lang w:val="en-US" w:eastAsia="pl-PL"/>
        </w:rPr>
        <w:t xml:space="preserve"> Warszawy (z </w:t>
      </w:r>
      <w:proofErr w:type="spellStart"/>
      <w:r w:rsidRPr="7AAAD7C8">
        <w:rPr>
          <w:rFonts w:eastAsia="Times New Roman"/>
          <w:lang w:val="en-US" w:eastAsia="pl-PL"/>
        </w:rPr>
        <w:t>późn</w:t>
      </w:r>
      <w:proofErr w:type="spellEnd"/>
      <w:r w:rsidRPr="7AAAD7C8">
        <w:rPr>
          <w:rFonts w:eastAsia="Times New Roman"/>
          <w:lang w:val="en-US" w:eastAsia="pl-PL"/>
        </w:rPr>
        <w:t xml:space="preserve">. </w:t>
      </w:r>
      <w:proofErr w:type="spellStart"/>
      <w:r w:rsidRPr="7AAAD7C8">
        <w:rPr>
          <w:rFonts w:eastAsia="Times New Roman"/>
          <w:lang w:val="en-US" w:eastAsia="pl-PL"/>
        </w:rPr>
        <w:t>zm</w:t>
      </w:r>
      <w:proofErr w:type="spellEnd"/>
      <w:r w:rsidRPr="7AAAD7C8">
        <w:rPr>
          <w:rFonts w:eastAsia="Times New Roman"/>
          <w:lang w:val="en-US" w:eastAsia="pl-PL"/>
        </w:rPr>
        <w:t>.</w:t>
      </w:r>
      <w:r w:rsidRPr="7AAAD7C8">
        <w:rPr>
          <w:rFonts w:eastAsia="Times New Roman"/>
          <w:vertAlign w:val="superscript"/>
          <w:lang w:val="en-US" w:eastAsia="pl-PL"/>
        </w:rPr>
        <w:t xml:space="preserve"> </w:t>
      </w:r>
      <w:r w:rsidRPr="7AAAD7C8">
        <w:rPr>
          <w:rFonts w:eastAsia="Times New Roman"/>
          <w:vertAlign w:val="superscript"/>
          <w:lang w:val="en-US" w:eastAsia="pl-PL"/>
        </w:rPr>
        <w:footnoteReference w:id="2"/>
      </w:r>
      <w:r w:rsidRPr="7AAAD7C8">
        <w:rPr>
          <w:rFonts w:eastAsia="Times New Roman"/>
          <w:vertAlign w:val="superscript"/>
          <w:lang w:val="en-US" w:eastAsia="pl-PL"/>
        </w:rPr>
        <w:t>)</w:t>
      </w:r>
      <w:r w:rsidRPr="7AAAD7C8">
        <w:rPr>
          <w:rFonts w:eastAsia="Times New Roman"/>
          <w:lang w:val="en-US" w:eastAsia="pl-PL"/>
        </w:rPr>
        <w:t xml:space="preserve">) </w:t>
      </w:r>
      <w:proofErr w:type="spellStart"/>
      <w:r w:rsidRPr="7AAAD7C8">
        <w:rPr>
          <w:rFonts w:eastAsia="Times New Roman"/>
          <w:lang w:val="en-US" w:eastAsia="pl-PL"/>
        </w:rPr>
        <w:t>wprowadza</w:t>
      </w:r>
      <w:proofErr w:type="spellEnd"/>
      <w:r w:rsidRPr="7AAAD7C8">
        <w:rPr>
          <w:rFonts w:eastAsia="Times New Roman"/>
          <w:lang w:val="en-US" w:eastAsia="pl-PL"/>
        </w:rPr>
        <w:t xml:space="preserve"> </w:t>
      </w:r>
      <w:proofErr w:type="spellStart"/>
      <w:r w:rsidRPr="7AAAD7C8">
        <w:rPr>
          <w:rFonts w:eastAsia="Times New Roman"/>
          <w:lang w:val="en-US" w:eastAsia="pl-PL"/>
        </w:rPr>
        <w:t>się</w:t>
      </w:r>
      <w:proofErr w:type="spellEnd"/>
      <w:r w:rsidRPr="7AAAD7C8">
        <w:rPr>
          <w:rFonts w:eastAsia="Times New Roman"/>
          <w:lang w:val="en-US" w:eastAsia="pl-PL"/>
        </w:rPr>
        <w:t xml:space="preserve"> </w:t>
      </w:r>
      <w:proofErr w:type="spellStart"/>
      <w:r w:rsidRPr="7AAAD7C8">
        <w:rPr>
          <w:rFonts w:eastAsia="Times New Roman"/>
          <w:lang w:val="en-US" w:eastAsia="pl-PL"/>
        </w:rPr>
        <w:t>następujące</w:t>
      </w:r>
      <w:proofErr w:type="spellEnd"/>
      <w:r w:rsidRPr="7AAAD7C8">
        <w:rPr>
          <w:rFonts w:eastAsia="Times New Roman"/>
          <w:lang w:val="en-US" w:eastAsia="pl-PL"/>
        </w:rPr>
        <w:t xml:space="preserve"> </w:t>
      </w:r>
      <w:proofErr w:type="spellStart"/>
      <w:r w:rsidRPr="7AAAD7C8">
        <w:rPr>
          <w:rFonts w:eastAsia="Times New Roman"/>
          <w:lang w:val="en-US" w:eastAsia="pl-PL"/>
        </w:rPr>
        <w:t>zmiany</w:t>
      </w:r>
      <w:proofErr w:type="spellEnd"/>
      <w:r>
        <w:rPr>
          <w:rFonts w:eastAsia="Times New Roman"/>
          <w:lang w:val="en-US" w:eastAsia="pl-PL"/>
        </w:rPr>
        <w:t>:</w:t>
      </w:r>
    </w:p>
    <w:p w14:paraId="12B17C09" w14:textId="0CF11BED" w:rsidR="00BE0859" w:rsidRPr="00BE0859" w:rsidRDefault="00BE0859" w:rsidP="00E85EB8">
      <w:pPr>
        <w:numPr>
          <w:ilvl w:val="0"/>
          <w:numId w:val="3"/>
        </w:numPr>
        <w:spacing w:line="300" w:lineRule="auto"/>
        <w:ind w:left="567" w:hanging="567"/>
        <w:contextualSpacing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lastRenderedPageBreak/>
        <w:t>w</w:t>
      </w:r>
      <w:r w:rsidR="00E85EB8">
        <w:rPr>
          <w:rFonts w:ascii="Calibri" w:eastAsia="Calibri" w:hAnsi="Calibri" w:cs="Times New Roman"/>
        </w:rPr>
        <w:t xml:space="preserve"> </w:t>
      </w:r>
      <w:r w:rsidR="00E85EB8" w:rsidRPr="00DA4F5F">
        <w:rPr>
          <w:rFonts w:ascii="Calibri" w:eastAsia="Calibri" w:hAnsi="Calibri" w:cs="Times New Roman"/>
        </w:rPr>
        <w:t>§</w:t>
      </w:r>
      <w:r w:rsidR="00E85EB8">
        <w:rPr>
          <w:rFonts w:ascii="Calibri" w:eastAsia="Calibri" w:hAnsi="Calibri" w:cs="Times New Roman"/>
        </w:rPr>
        <w:t xml:space="preserve"> 21 w ust</w:t>
      </w:r>
      <w:r w:rsidR="00A34C6C">
        <w:rPr>
          <w:rFonts w:ascii="Calibri" w:eastAsia="Calibri" w:hAnsi="Calibri" w:cs="Times New Roman"/>
        </w:rPr>
        <w:t>.</w:t>
      </w:r>
      <w:r w:rsidR="00E85EB8">
        <w:rPr>
          <w:rFonts w:ascii="Calibri" w:eastAsia="Calibri" w:hAnsi="Calibri" w:cs="Times New Roman"/>
        </w:rPr>
        <w:t xml:space="preserve"> 2 uchyla się pkt 5</w:t>
      </w:r>
      <w:r>
        <w:rPr>
          <w:rFonts w:ascii="Calibri" w:eastAsia="Calibri" w:hAnsi="Calibri" w:cs="Times New Roman"/>
        </w:rPr>
        <w:t>;</w:t>
      </w:r>
    </w:p>
    <w:p w14:paraId="75504D16" w14:textId="1BBAB654" w:rsidR="00E85EB8" w:rsidRPr="00A10717" w:rsidRDefault="00BE0859" w:rsidP="00E85EB8">
      <w:pPr>
        <w:numPr>
          <w:ilvl w:val="0"/>
          <w:numId w:val="3"/>
        </w:numPr>
        <w:spacing w:line="300" w:lineRule="auto"/>
        <w:ind w:left="567" w:hanging="567"/>
        <w:contextualSpacing/>
        <w:rPr>
          <w:rFonts w:ascii="Calibri" w:eastAsia="Calibri" w:hAnsi="Calibri" w:cs="Times New Roman"/>
          <w:u w:val="single"/>
        </w:rPr>
      </w:pPr>
      <w:r w:rsidRPr="12041E90">
        <w:rPr>
          <w:rFonts w:ascii="Calibri" w:eastAsia="Calibri" w:hAnsi="Calibri" w:cs="Times New Roman"/>
        </w:rPr>
        <w:t xml:space="preserve">§ 26 </w:t>
      </w:r>
      <w:r w:rsidR="5FB7158D" w:rsidRPr="12041E90">
        <w:rPr>
          <w:rFonts w:ascii="Calibri" w:eastAsia="Calibri" w:hAnsi="Calibri" w:cs="Times New Roman"/>
        </w:rPr>
        <w:t>otrzymuje brzmienie:</w:t>
      </w:r>
    </w:p>
    <w:p w14:paraId="64F16F08" w14:textId="2FFC8884" w:rsidR="00A10717" w:rsidRPr="00BE0859" w:rsidRDefault="00A10717" w:rsidP="00A10717">
      <w:pPr>
        <w:spacing w:line="300" w:lineRule="auto"/>
        <w:ind w:left="567"/>
        <w:contextualSpacing/>
        <w:jc w:val="center"/>
        <w:rPr>
          <w:rFonts w:ascii="Calibri" w:eastAsia="Calibri" w:hAnsi="Calibri" w:cs="Times New Roman"/>
          <w:u w:val="single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„§ 26 Biuro Polityki Lokalowej</w:t>
      </w:r>
    </w:p>
    <w:p w14:paraId="490E57E9" w14:textId="4FF3CE93" w:rsidR="00E85EB8" w:rsidRPr="00A10717" w:rsidRDefault="5FB7158D" w:rsidP="00A10717">
      <w:pPr>
        <w:pStyle w:val="Akapitzlist"/>
        <w:numPr>
          <w:ilvl w:val="0"/>
          <w:numId w:val="1"/>
        </w:numPr>
        <w:spacing w:line="300" w:lineRule="auto"/>
        <w:rPr>
          <w:rFonts w:ascii="Calibri" w:eastAsia="Calibri" w:hAnsi="Calibri" w:cs="Calibri"/>
          <w:color w:val="000000" w:themeColor="text1"/>
        </w:rPr>
      </w:pPr>
      <w:r w:rsidRPr="00A10717">
        <w:rPr>
          <w:rFonts w:ascii="Calibri" w:eastAsia="Calibri" w:hAnsi="Calibri" w:cs="Calibri"/>
          <w:color w:val="000000" w:themeColor="text1"/>
        </w:rPr>
        <w:t>Do zakresu działania Biura Polityki Lokalowej należy w szczególności:</w:t>
      </w:r>
    </w:p>
    <w:p w14:paraId="5CD96102" w14:textId="2162BB48" w:rsidR="00E85EB8" w:rsidRPr="00BE0859" w:rsidRDefault="5FB7158D" w:rsidP="12041E90">
      <w:pPr>
        <w:pStyle w:val="Akapitzlist"/>
        <w:numPr>
          <w:ilvl w:val="1"/>
          <w:numId w:val="1"/>
        </w:numPr>
        <w:spacing w:line="300" w:lineRule="auto"/>
        <w:ind w:left="993" w:hanging="426"/>
        <w:rPr>
          <w:rFonts w:eastAsiaTheme="minorEastAsia"/>
          <w:color w:val="000000" w:themeColor="text1"/>
        </w:rPr>
      </w:pPr>
      <w:r w:rsidRPr="12041E90">
        <w:rPr>
          <w:rFonts w:ascii="Calibri" w:eastAsia="Calibri" w:hAnsi="Calibri" w:cs="Calibri"/>
          <w:color w:val="000000" w:themeColor="text1"/>
        </w:rPr>
        <w:t>gospodarowanie zasobem lokalowym m.st. Warszawy, z wyłączeniem spraw dotyczących utrzymania i eksploatacji zasobów lokalowych, przekazanych do kompetencji dzielnic, a także koordynacja i monitorowanie wykonywania przez dzielnice zadań z zakresu gospodarowania zasobem lokalowym m.st. Warszawy;</w:t>
      </w:r>
    </w:p>
    <w:p w14:paraId="01BAA6F1" w14:textId="541B8D5A" w:rsidR="00E85EB8" w:rsidRPr="00BE0859" w:rsidRDefault="5FB7158D" w:rsidP="12041E90">
      <w:pPr>
        <w:pStyle w:val="Akapitzlist"/>
        <w:numPr>
          <w:ilvl w:val="1"/>
          <w:numId w:val="1"/>
        </w:numPr>
        <w:spacing w:line="300" w:lineRule="auto"/>
        <w:ind w:left="993" w:hanging="426"/>
        <w:rPr>
          <w:rFonts w:eastAsiaTheme="minorEastAsia"/>
          <w:color w:val="000000" w:themeColor="text1"/>
        </w:rPr>
      </w:pPr>
      <w:r w:rsidRPr="12041E90">
        <w:rPr>
          <w:rFonts w:ascii="Calibri" w:eastAsia="Calibri" w:hAnsi="Calibri" w:cs="Calibri"/>
          <w:color w:val="000000" w:themeColor="text1"/>
        </w:rPr>
        <w:t>administrowanie strukturą, układem i zakresem danych elektronicznej ewidencji zasobów lokalowych m.st. Warszawy oraz koordynacja prac prowadzonych w dzielnicach, polegających na wprowadzaniu i aktualizacji danych;</w:t>
      </w:r>
    </w:p>
    <w:p w14:paraId="491D54A7" w14:textId="274E0B44" w:rsidR="00E85EB8" w:rsidRPr="00BE0859" w:rsidRDefault="5FB7158D" w:rsidP="12041E90">
      <w:pPr>
        <w:pStyle w:val="Akapitzlist"/>
        <w:numPr>
          <w:ilvl w:val="1"/>
          <w:numId w:val="1"/>
        </w:numPr>
        <w:spacing w:line="300" w:lineRule="auto"/>
        <w:ind w:left="993" w:hanging="426"/>
        <w:rPr>
          <w:rFonts w:eastAsiaTheme="minorEastAsia"/>
          <w:color w:val="000000" w:themeColor="text1"/>
        </w:rPr>
      </w:pPr>
      <w:r w:rsidRPr="12041E90">
        <w:rPr>
          <w:rFonts w:ascii="Calibri" w:eastAsia="Calibri" w:hAnsi="Calibri" w:cs="Calibri"/>
          <w:color w:val="000000" w:themeColor="text1"/>
        </w:rPr>
        <w:t>przygotowanie i monitorowanie realizacji wieloletniego programu gospodarowania zasobem mieszkaniowym m.st. Warszawy;</w:t>
      </w:r>
    </w:p>
    <w:p w14:paraId="31BE3564" w14:textId="3179E526" w:rsidR="00E85EB8" w:rsidRPr="00BE0859" w:rsidRDefault="5FB7158D" w:rsidP="12041E90">
      <w:pPr>
        <w:pStyle w:val="Akapitzlist"/>
        <w:numPr>
          <w:ilvl w:val="1"/>
          <w:numId w:val="1"/>
        </w:numPr>
        <w:spacing w:line="300" w:lineRule="auto"/>
        <w:ind w:left="993" w:hanging="426"/>
        <w:rPr>
          <w:rFonts w:eastAsiaTheme="minorEastAsia"/>
          <w:color w:val="000000" w:themeColor="text1"/>
        </w:rPr>
      </w:pPr>
      <w:r w:rsidRPr="12041E90">
        <w:rPr>
          <w:rFonts w:ascii="Calibri" w:eastAsia="Calibri" w:hAnsi="Calibri" w:cs="Calibri"/>
          <w:color w:val="000000" w:themeColor="text1"/>
        </w:rPr>
        <w:t>opracowywanie projektów zasad najmu i sprzedaży lokali mieszkalnych i użytkowych oraz opracowywanie projektów zasad gospodarowania tymczasowymi pomieszczeniami;</w:t>
      </w:r>
    </w:p>
    <w:p w14:paraId="4A288633" w14:textId="71E2A247" w:rsidR="00E85EB8" w:rsidRPr="00BE0859" w:rsidRDefault="5FB7158D" w:rsidP="12041E90">
      <w:pPr>
        <w:pStyle w:val="Akapitzlist"/>
        <w:numPr>
          <w:ilvl w:val="1"/>
          <w:numId w:val="1"/>
        </w:numPr>
        <w:spacing w:line="300" w:lineRule="auto"/>
        <w:ind w:left="993" w:hanging="426"/>
        <w:rPr>
          <w:rFonts w:eastAsiaTheme="minorEastAsia"/>
          <w:color w:val="000000" w:themeColor="text1"/>
        </w:rPr>
      </w:pPr>
      <w:r w:rsidRPr="12041E90">
        <w:rPr>
          <w:rFonts w:ascii="Calibri" w:eastAsia="Calibri" w:hAnsi="Calibri" w:cs="Calibri"/>
          <w:color w:val="000000" w:themeColor="text1"/>
        </w:rPr>
        <w:t>prowadzenie polityki m.st. Warszawy wobec towarzystw budownictwa społecznego, w zakresie polityki mieszkaniowej;</w:t>
      </w:r>
    </w:p>
    <w:p w14:paraId="54CD3362" w14:textId="7F94175C" w:rsidR="00E85EB8" w:rsidRPr="00BE0859" w:rsidRDefault="5FB7158D" w:rsidP="12041E90">
      <w:pPr>
        <w:pStyle w:val="Akapitzlist"/>
        <w:numPr>
          <w:ilvl w:val="1"/>
          <w:numId w:val="1"/>
        </w:numPr>
        <w:spacing w:line="300" w:lineRule="auto"/>
        <w:ind w:left="993" w:hanging="426"/>
        <w:rPr>
          <w:rFonts w:eastAsiaTheme="minorEastAsia"/>
          <w:color w:val="000000" w:themeColor="text1"/>
        </w:rPr>
      </w:pPr>
      <w:r w:rsidRPr="12041E90">
        <w:rPr>
          <w:rFonts w:ascii="Calibri" w:eastAsia="Calibri" w:hAnsi="Calibri" w:cs="Calibri"/>
          <w:color w:val="000000" w:themeColor="text1"/>
        </w:rPr>
        <w:t>koordynacja polityki w zakresie zadań związanych z gminnym budownictwem mieszkaniowym;</w:t>
      </w:r>
    </w:p>
    <w:p w14:paraId="7076C774" w14:textId="4B87BB56" w:rsidR="00E85EB8" w:rsidRPr="00BE0859" w:rsidRDefault="5FB7158D" w:rsidP="12041E90">
      <w:pPr>
        <w:pStyle w:val="Akapitzlist"/>
        <w:numPr>
          <w:ilvl w:val="1"/>
          <w:numId w:val="1"/>
        </w:numPr>
        <w:spacing w:line="300" w:lineRule="auto"/>
        <w:ind w:left="993" w:hanging="426"/>
        <w:rPr>
          <w:rFonts w:eastAsiaTheme="minorEastAsia"/>
          <w:color w:val="000000" w:themeColor="text1"/>
        </w:rPr>
      </w:pPr>
      <w:r w:rsidRPr="12041E90">
        <w:rPr>
          <w:rFonts w:ascii="Calibri" w:eastAsia="Calibri" w:hAnsi="Calibri" w:cs="Calibri"/>
          <w:color w:val="000000" w:themeColor="text1"/>
        </w:rPr>
        <w:t>współpraca z wydziałami dla dzielnicy właściwymi w sprawach gospodarowania zasobem lokalowym m.st. Warszawy oraz jednostkami organizacyjnymi, których działalność statutowa dotyczy zarządu zasobem lokalowym, w zakresie realizacji polityki mieszkaniowej i strategii zarządzania zasobem;</w:t>
      </w:r>
    </w:p>
    <w:p w14:paraId="56185167" w14:textId="0EF069F5" w:rsidR="00E85EB8" w:rsidRPr="00BE0859" w:rsidRDefault="5FB7158D" w:rsidP="12041E90">
      <w:pPr>
        <w:pStyle w:val="Akapitzlist"/>
        <w:numPr>
          <w:ilvl w:val="1"/>
          <w:numId w:val="1"/>
        </w:numPr>
        <w:spacing w:line="300" w:lineRule="auto"/>
        <w:ind w:left="993" w:hanging="426"/>
        <w:rPr>
          <w:rFonts w:eastAsiaTheme="minorEastAsia"/>
          <w:color w:val="000000" w:themeColor="text1"/>
        </w:rPr>
      </w:pPr>
      <w:r w:rsidRPr="12041E90">
        <w:rPr>
          <w:rFonts w:ascii="Calibri" w:eastAsia="Calibri" w:hAnsi="Calibri" w:cs="Calibri"/>
          <w:color w:val="000000" w:themeColor="text1"/>
        </w:rPr>
        <w:t>nadzór nad prawidłowym zabezpieczeniem i podziałem środków finansowych przeznaczonych na realizację zadań zleconych z zakresu administracji rządowej;</w:t>
      </w:r>
    </w:p>
    <w:p w14:paraId="5FCA9994" w14:textId="36B30F3D" w:rsidR="00E85EB8" w:rsidRPr="00BE0859" w:rsidRDefault="5FB7158D" w:rsidP="12041E90">
      <w:pPr>
        <w:pStyle w:val="Akapitzlist"/>
        <w:numPr>
          <w:ilvl w:val="1"/>
          <w:numId w:val="1"/>
        </w:numPr>
        <w:spacing w:line="300" w:lineRule="auto"/>
        <w:ind w:left="993" w:hanging="426"/>
        <w:rPr>
          <w:rFonts w:eastAsiaTheme="minorEastAsia"/>
          <w:color w:val="000000" w:themeColor="text1"/>
        </w:rPr>
      </w:pPr>
      <w:r w:rsidRPr="12041E90">
        <w:rPr>
          <w:rFonts w:ascii="Calibri" w:eastAsia="Calibri" w:hAnsi="Calibri" w:cs="Calibri"/>
          <w:color w:val="000000" w:themeColor="text1"/>
        </w:rPr>
        <w:lastRenderedPageBreak/>
        <w:t>koordynowanie spraw dotyczących rozwiązywania problemów mieszkaniowych lokatorów zamieszkałych w budynkach zwracanych lub zwróconych byłym właścicielom lub ich następcom prawnym oraz w budynkach prywatnych zarządzanych przez jednostki organizacyjne m.st. Warszawy;</w:t>
      </w:r>
    </w:p>
    <w:p w14:paraId="7AFC851C" w14:textId="1138C8D2" w:rsidR="00E85EB8" w:rsidRPr="00BE0859" w:rsidRDefault="5FB7158D" w:rsidP="12041E90">
      <w:pPr>
        <w:spacing w:line="300" w:lineRule="auto"/>
        <w:ind w:left="993" w:hanging="425"/>
        <w:contextualSpacing/>
        <w:rPr>
          <w:rFonts w:ascii="Calibri" w:eastAsia="Calibri" w:hAnsi="Calibri" w:cs="Calibri"/>
          <w:color w:val="000000" w:themeColor="text1"/>
        </w:rPr>
      </w:pPr>
      <w:r w:rsidRPr="12041E90">
        <w:rPr>
          <w:rFonts w:ascii="Calibri" w:eastAsia="Calibri" w:hAnsi="Calibri" w:cs="Calibri"/>
          <w:color w:val="000000" w:themeColor="text1"/>
        </w:rPr>
        <w:t>10) przygotowywanie, wdrażanie i monitorowanie realizacji Programu rewitalizacji m.st. Warszawy;</w:t>
      </w:r>
    </w:p>
    <w:p w14:paraId="1263CDE5" w14:textId="6D7AF94A" w:rsidR="00E85EB8" w:rsidRPr="00BE0859" w:rsidRDefault="5FB7158D" w:rsidP="12041E90">
      <w:pPr>
        <w:spacing w:line="300" w:lineRule="auto"/>
        <w:ind w:left="720" w:hanging="153"/>
        <w:contextualSpacing/>
      </w:pPr>
      <w:r w:rsidRPr="12041E90">
        <w:rPr>
          <w:rFonts w:ascii="Calibri" w:eastAsia="Calibri" w:hAnsi="Calibri" w:cs="Calibri"/>
          <w:color w:val="000000" w:themeColor="text1"/>
        </w:rPr>
        <w:t>11) koordynowanie realizacji, monitorowanie przebiegu oraz ocena efektywności i skuteczności projektów i przedsięwzięć kluczowych w ramach Programu rewitalizacji m.st. Warszawy.</w:t>
      </w:r>
      <w:r w:rsidRPr="12041E90">
        <w:rPr>
          <w:rFonts w:ascii="Calibri" w:eastAsia="Calibri" w:hAnsi="Calibri" w:cs="Times New Roman"/>
        </w:rPr>
        <w:t xml:space="preserve"> </w:t>
      </w:r>
    </w:p>
    <w:p w14:paraId="2BD304C7" w14:textId="3EA6DFE3" w:rsidR="00BE0859" w:rsidRPr="003951A0" w:rsidRDefault="37E4C280" w:rsidP="12041E90">
      <w:pPr>
        <w:spacing w:line="300" w:lineRule="auto"/>
        <w:contextualSpacing/>
      </w:pPr>
      <w:r w:rsidRPr="12041E90">
        <w:rPr>
          <w:rFonts w:ascii="Calibri" w:eastAsia="Calibri" w:hAnsi="Calibri" w:cs="Times New Roman"/>
        </w:rPr>
        <w:t>2</w:t>
      </w:r>
      <w:r w:rsidR="00A10717">
        <w:rPr>
          <w:rFonts w:ascii="Calibri" w:eastAsia="Calibri" w:hAnsi="Calibri" w:cs="Times New Roman"/>
        </w:rPr>
        <w:t>.</w:t>
      </w:r>
      <w:r w:rsidR="00BE0859" w:rsidRPr="12041E90">
        <w:rPr>
          <w:rFonts w:ascii="Calibri" w:eastAsia="Calibri" w:hAnsi="Calibri" w:cs="Times New Roman"/>
        </w:rPr>
        <w:t xml:space="preserve"> Przy pomocy </w:t>
      </w:r>
      <w:r w:rsidR="00BE0859" w:rsidRPr="12041E90">
        <w:t xml:space="preserve">Biura wykonywany jest nadzór nad </w:t>
      </w:r>
      <w:r w:rsidR="00A10717">
        <w:t xml:space="preserve">jednostką organizacyjną m.st Warszawy </w:t>
      </w:r>
      <w:r w:rsidR="00BE0859" w:rsidRPr="12041E90">
        <w:t>Zarządem Zieleni m.st. Warszawy.”.</w:t>
      </w:r>
    </w:p>
    <w:p w14:paraId="77BB1298" w14:textId="2048AE65" w:rsidR="00E85EB8" w:rsidRPr="00DA4F5F" w:rsidRDefault="00E85EB8" w:rsidP="12041E90">
      <w:pPr>
        <w:keepNext/>
        <w:keepLines/>
        <w:spacing w:before="240" w:after="240" w:line="300" w:lineRule="auto"/>
        <w:ind w:firstLine="425"/>
        <w:outlineLvl w:val="0"/>
        <w:rPr>
          <w:rFonts w:eastAsia="Times New Roman"/>
          <w:lang w:val="en-US" w:eastAsia="pl-PL"/>
        </w:rPr>
      </w:pPr>
      <w:r w:rsidRPr="12041E90">
        <w:rPr>
          <w:rFonts w:eastAsia="Times New Roman"/>
          <w:b/>
          <w:bCs/>
          <w:lang w:val="en-US" w:eastAsia="pl-PL"/>
        </w:rPr>
        <w:t xml:space="preserve">§ 2. </w:t>
      </w:r>
      <w:proofErr w:type="spellStart"/>
      <w:r w:rsidRPr="12041E90">
        <w:rPr>
          <w:rFonts w:eastAsia="Times New Roman"/>
          <w:lang w:val="en-US" w:eastAsia="pl-PL"/>
        </w:rPr>
        <w:t>Wykon</w:t>
      </w:r>
      <w:r w:rsidR="748C4822" w:rsidRPr="12041E90">
        <w:rPr>
          <w:rFonts w:eastAsia="Times New Roman"/>
          <w:lang w:val="en-US" w:eastAsia="pl-PL"/>
        </w:rPr>
        <w:t>a</w:t>
      </w:r>
      <w:r w:rsidRPr="12041E90">
        <w:rPr>
          <w:rFonts w:eastAsia="Times New Roman"/>
          <w:lang w:val="en-US" w:eastAsia="pl-PL"/>
        </w:rPr>
        <w:t>nie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zarządzenia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powierza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się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zastępcom</w:t>
      </w:r>
      <w:proofErr w:type="spellEnd"/>
      <w:r w:rsidRPr="12041E90">
        <w:rPr>
          <w:rFonts w:eastAsia="Times New Roman"/>
          <w:lang w:val="en-US" w:eastAsia="pl-PL"/>
        </w:rPr>
        <w:t xml:space="preserve"> Prezydenta </w:t>
      </w:r>
      <w:proofErr w:type="spellStart"/>
      <w:r w:rsidRPr="12041E90">
        <w:rPr>
          <w:rFonts w:eastAsia="Times New Roman"/>
          <w:lang w:val="en-US" w:eastAsia="pl-PL"/>
        </w:rPr>
        <w:t>miasta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stołecznego</w:t>
      </w:r>
      <w:proofErr w:type="spellEnd"/>
      <w:r w:rsidRPr="12041E90">
        <w:rPr>
          <w:rFonts w:eastAsia="Times New Roman"/>
          <w:lang w:val="en-US" w:eastAsia="pl-PL"/>
        </w:rPr>
        <w:t xml:space="preserve"> Warszawy, </w:t>
      </w:r>
      <w:proofErr w:type="spellStart"/>
      <w:r w:rsidRPr="12041E90">
        <w:rPr>
          <w:rFonts w:eastAsia="Times New Roman"/>
          <w:lang w:val="en-US" w:eastAsia="pl-PL"/>
        </w:rPr>
        <w:t>Sekretarzowi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miasta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stołecznego</w:t>
      </w:r>
      <w:proofErr w:type="spellEnd"/>
      <w:r w:rsidRPr="12041E90">
        <w:rPr>
          <w:rFonts w:eastAsia="Times New Roman"/>
          <w:lang w:val="en-US" w:eastAsia="pl-PL"/>
        </w:rPr>
        <w:t xml:space="preserve"> Warszawy, </w:t>
      </w:r>
      <w:proofErr w:type="spellStart"/>
      <w:r w:rsidRPr="12041E90">
        <w:rPr>
          <w:rFonts w:eastAsia="Times New Roman"/>
          <w:lang w:val="en-US" w:eastAsia="pl-PL"/>
        </w:rPr>
        <w:t>Skarbnikowi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miasta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stołecznego</w:t>
      </w:r>
      <w:proofErr w:type="spellEnd"/>
      <w:r w:rsidRPr="12041E90">
        <w:rPr>
          <w:rFonts w:eastAsia="Times New Roman"/>
          <w:lang w:val="en-US" w:eastAsia="pl-PL"/>
        </w:rPr>
        <w:t xml:space="preserve"> Warszawy, </w:t>
      </w:r>
      <w:proofErr w:type="spellStart"/>
      <w:r w:rsidRPr="12041E90">
        <w:rPr>
          <w:rFonts w:eastAsia="Times New Roman"/>
          <w:lang w:val="en-US" w:eastAsia="pl-PL"/>
        </w:rPr>
        <w:t>Dyrektorowi</w:t>
      </w:r>
      <w:proofErr w:type="spellEnd"/>
      <w:r w:rsidRPr="12041E90">
        <w:rPr>
          <w:rFonts w:eastAsia="Times New Roman"/>
          <w:lang w:val="en-US" w:eastAsia="pl-PL"/>
        </w:rPr>
        <w:t xml:space="preserve"> Magistratu, </w:t>
      </w:r>
      <w:proofErr w:type="spellStart"/>
      <w:r w:rsidRPr="12041E90">
        <w:rPr>
          <w:rFonts w:eastAsia="Times New Roman"/>
          <w:lang w:val="en-US" w:eastAsia="pl-PL"/>
        </w:rPr>
        <w:t>Dyrektorom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Koordynatorom</w:t>
      </w:r>
      <w:proofErr w:type="spellEnd"/>
      <w:r w:rsidRPr="12041E90">
        <w:rPr>
          <w:rFonts w:eastAsia="Times New Roman"/>
          <w:lang w:val="en-US" w:eastAsia="pl-PL"/>
        </w:rPr>
        <w:t xml:space="preserve">, </w:t>
      </w:r>
      <w:proofErr w:type="spellStart"/>
      <w:r w:rsidRPr="12041E90">
        <w:rPr>
          <w:rFonts w:eastAsia="Times New Roman"/>
          <w:lang w:val="en-US" w:eastAsia="pl-PL"/>
        </w:rPr>
        <w:t>zarządom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dzielnic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miasta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stołecznego</w:t>
      </w:r>
      <w:proofErr w:type="spellEnd"/>
      <w:r w:rsidRPr="12041E90">
        <w:rPr>
          <w:rFonts w:eastAsia="Times New Roman"/>
          <w:lang w:val="en-US" w:eastAsia="pl-PL"/>
        </w:rPr>
        <w:t xml:space="preserve"> Warszawy, </w:t>
      </w:r>
      <w:proofErr w:type="spellStart"/>
      <w:r w:rsidRPr="12041E90">
        <w:rPr>
          <w:rFonts w:eastAsia="Times New Roman"/>
          <w:lang w:val="en-US" w:eastAsia="pl-PL"/>
        </w:rPr>
        <w:t>dyrektorom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biur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Urzędu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miasta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stołecznego</w:t>
      </w:r>
      <w:proofErr w:type="spellEnd"/>
      <w:r w:rsidRPr="12041E90">
        <w:rPr>
          <w:rFonts w:eastAsia="Times New Roman"/>
          <w:lang w:val="en-US" w:eastAsia="pl-PL"/>
        </w:rPr>
        <w:t xml:space="preserve"> Warszawy </w:t>
      </w:r>
      <w:proofErr w:type="spellStart"/>
      <w:r w:rsidRPr="12041E90">
        <w:rPr>
          <w:rFonts w:eastAsia="Times New Roman"/>
          <w:lang w:val="en-US" w:eastAsia="pl-PL"/>
        </w:rPr>
        <w:t>oraz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naczelnikom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wydziałów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dla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dzielnic</w:t>
      </w:r>
      <w:proofErr w:type="spellEnd"/>
      <w:r w:rsidRPr="12041E90">
        <w:rPr>
          <w:rFonts w:eastAsia="Times New Roman"/>
          <w:lang w:val="en-US" w:eastAsia="pl-PL"/>
        </w:rPr>
        <w:t xml:space="preserve"> w </w:t>
      </w:r>
      <w:proofErr w:type="spellStart"/>
      <w:r w:rsidRPr="12041E90">
        <w:rPr>
          <w:rFonts w:eastAsia="Times New Roman"/>
          <w:lang w:val="en-US" w:eastAsia="pl-PL"/>
        </w:rPr>
        <w:t>urzędach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dzielnic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miasta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stołecznego</w:t>
      </w:r>
      <w:proofErr w:type="spellEnd"/>
      <w:r w:rsidRPr="12041E90">
        <w:rPr>
          <w:rFonts w:eastAsia="Times New Roman"/>
          <w:lang w:val="en-US" w:eastAsia="pl-PL"/>
        </w:rPr>
        <w:t xml:space="preserve"> Warszawy i </w:t>
      </w:r>
      <w:proofErr w:type="spellStart"/>
      <w:r w:rsidRPr="12041E90">
        <w:rPr>
          <w:rFonts w:eastAsia="Times New Roman"/>
          <w:lang w:val="en-US" w:eastAsia="pl-PL"/>
        </w:rPr>
        <w:t>kierownikom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zespołów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dla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dzielnic</w:t>
      </w:r>
      <w:proofErr w:type="spellEnd"/>
      <w:r w:rsidRPr="12041E90">
        <w:rPr>
          <w:rFonts w:eastAsia="Times New Roman"/>
          <w:lang w:val="en-US" w:eastAsia="pl-PL"/>
        </w:rPr>
        <w:t xml:space="preserve"> w </w:t>
      </w:r>
      <w:proofErr w:type="spellStart"/>
      <w:r w:rsidRPr="12041E90">
        <w:rPr>
          <w:rFonts w:eastAsia="Times New Roman"/>
          <w:lang w:val="en-US" w:eastAsia="pl-PL"/>
        </w:rPr>
        <w:t>urzędach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dzielnic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miasta</w:t>
      </w:r>
      <w:proofErr w:type="spellEnd"/>
      <w:r w:rsidRPr="12041E90">
        <w:rPr>
          <w:rFonts w:eastAsia="Times New Roman"/>
          <w:lang w:val="en-US" w:eastAsia="pl-PL"/>
        </w:rPr>
        <w:t xml:space="preserve"> </w:t>
      </w:r>
      <w:proofErr w:type="spellStart"/>
      <w:r w:rsidRPr="12041E90">
        <w:rPr>
          <w:rFonts w:eastAsia="Times New Roman"/>
          <w:lang w:val="en-US" w:eastAsia="pl-PL"/>
        </w:rPr>
        <w:t>stołecznego</w:t>
      </w:r>
      <w:proofErr w:type="spellEnd"/>
      <w:r w:rsidRPr="12041E90">
        <w:rPr>
          <w:rFonts w:eastAsia="Times New Roman"/>
          <w:lang w:val="en-US" w:eastAsia="pl-PL"/>
        </w:rPr>
        <w:t xml:space="preserve"> Warszawy.</w:t>
      </w:r>
    </w:p>
    <w:p w14:paraId="5EC5395E" w14:textId="77777777" w:rsidR="00E85EB8" w:rsidRPr="00DA4F5F" w:rsidRDefault="00E85EB8" w:rsidP="00E85EB8">
      <w:pPr>
        <w:autoSpaceDE w:val="0"/>
        <w:autoSpaceDN w:val="0"/>
        <w:adjustRightInd w:val="0"/>
        <w:spacing w:line="300" w:lineRule="auto"/>
        <w:ind w:left="360"/>
        <w:contextualSpacing/>
        <w:rPr>
          <w:rFonts w:eastAsia="Times New Roman" w:cstheme="minorHAnsi"/>
          <w:lang w:val="en-US" w:eastAsia="pl-PL"/>
        </w:rPr>
      </w:pPr>
      <w:r w:rsidRPr="00DA4F5F">
        <w:rPr>
          <w:rFonts w:eastAsia="Times New Roman" w:cstheme="minorHAnsi"/>
          <w:b/>
          <w:lang w:val="en-US" w:eastAsia="pl-PL"/>
        </w:rPr>
        <w:t xml:space="preserve">§ 3. </w:t>
      </w:r>
      <w:r w:rsidRPr="00DA4F5F">
        <w:rPr>
          <w:rFonts w:eastAsia="Times New Roman" w:cstheme="minorHAnsi"/>
          <w:lang w:val="en-US" w:eastAsia="pl-PL"/>
        </w:rPr>
        <w:t xml:space="preserve">1. </w:t>
      </w:r>
      <w:proofErr w:type="spellStart"/>
      <w:r w:rsidRPr="00DA4F5F">
        <w:rPr>
          <w:rFonts w:eastAsia="Times New Roman" w:cstheme="minorHAnsi"/>
          <w:lang w:val="en-US" w:eastAsia="pl-PL"/>
        </w:rPr>
        <w:t>Zarządzenie</w:t>
      </w:r>
      <w:proofErr w:type="spellEnd"/>
      <w:r w:rsidRPr="00DA4F5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DA4F5F">
        <w:rPr>
          <w:rFonts w:eastAsia="Times New Roman" w:cstheme="minorHAnsi"/>
          <w:lang w:val="en-US" w:eastAsia="pl-PL"/>
        </w:rPr>
        <w:t>podlega</w:t>
      </w:r>
      <w:proofErr w:type="spellEnd"/>
      <w:r w:rsidRPr="00DA4F5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DA4F5F">
        <w:rPr>
          <w:rFonts w:eastAsia="Times New Roman" w:cstheme="minorHAnsi"/>
          <w:lang w:val="en-US" w:eastAsia="pl-PL"/>
        </w:rPr>
        <w:t>publikacji</w:t>
      </w:r>
      <w:proofErr w:type="spellEnd"/>
      <w:r w:rsidRPr="00DA4F5F">
        <w:rPr>
          <w:rFonts w:eastAsia="Times New Roman" w:cstheme="minorHAnsi"/>
          <w:lang w:val="en-US" w:eastAsia="pl-PL"/>
        </w:rPr>
        <w:t xml:space="preserve"> w </w:t>
      </w:r>
      <w:proofErr w:type="spellStart"/>
      <w:r w:rsidRPr="00DA4F5F">
        <w:rPr>
          <w:rFonts w:eastAsia="Times New Roman" w:cstheme="minorHAnsi"/>
          <w:lang w:val="en-US" w:eastAsia="pl-PL"/>
        </w:rPr>
        <w:t>Biuletynie</w:t>
      </w:r>
      <w:proofErr w:type="spellEnd"/>
      <w:r w:rsidRPr="00DA4F5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DA4F5F">
        <w:rPr>
          <w:rFonts w:eastAsia="Times New Roman" w:cstheme="minorHAnsi"/>
          <w:lang w:val="en-US" w:eastAsia="pl-PL"/>
        </w:rPr>
        <w:t>Informacji</w:t>
      </w:r>
      <w:proofErr w:type="spellEnd"/>
      <w:r w:rsidRPr="00DA4F5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DA4F5F">
        <w:rPr>
          <w:rFonts w:eastAsia="Times New Roman" w:cstheme="minorHAnsi"/>
          <w:lang w:val="en-US" w:eastAsia="pl-PL"/>
        </w:rPr>
        <w:t>Publicznej</w:t>
      </w:r>
      <w:proofErr w:type="spellEnd"/>
      <w:r w:rsidRPr="00DA4F5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DA4F5F">
        <w:rPr>
          <w:rFonts w:eastAsia="Times New Roman" w:cstheme="minorHAnsi"/>
          <w:lang w:val="en-US" w:eastAsia="pl-PL"/>
        </w:rPr>
        <w:t>miasta</w:t>
      </w:r>
      <w:proofErr w:type="spellEnd"/>
      <w:r w:rsidRPr="00DA4F5F">
        <w:rPr>
          <w:rFonts w:eastAsia="Times New Roman" w:cstheme="minorHAnsi"/>
          <w:lang w:val="en-US" w:eastAsia="pl-PL"/>
        </w:rPr>
        <w:t xml:space="preserve"> </w:t>
      </w:r>
      <w:proofErr w:type="spellStart"/>
      <w:r w:rsidRPr="00DA4F5F">
        <w:rPr>
          <w:rFonts w:eastAsia="Times New Roman" w:cstheme="minorHAnsi"/>
          <w:lang w:val="en-US" w:eastAsia="pl-PL"/>
        </w:rPr>
        <w:t>stołecznego</w:t>
      </w:r>
      <w:proofErr w:type="spellEnd"/>
      <w:r w:rsidRPr="00DA4F5F">
        <w:rPr>
          <w:rFonts w:eastAsia="Times New Roman" w:cstheme="minorHAnsi"/>
          <w:lang w:val="en-US" w:eastAsia="pl-PL"/>
        </w:rPr>
        <w:t xml:space="preserve"> Warszawy. </w:t>
      </w:r>
    </w:p>
    <w:p w14:paraId="1379F2D4" w14:textId="47A5596A" w:rsidR="00603AA9" w:rsidRPr="00BB279B" w:rsidRDefault="00E85EB8" w:rsidP="00BB279B">
      <w:pPr>
        <w:numPr>
          <w:ilvl w:val="1"/>
          <w:numId w:val="2"/>
        </w:numPr>
        <w:autoSpaceDE w:val="0"/>
        <w:autoSpaceDN w:val="0"/>
        <w:adjustRightInd w:val="0"/>
        <w:spacing w:after="240" w:line="300" w:lineRule="auto"/>
        <w:ind w:left="993" w:hanging="284"/>
        <w:contextualSpacing/>
      </w:pPr>
      <w:r w:rsidRPr="00BE0859">
        <w:rPr>
          <w:rFonts w:eastAsia="Times New Roman"/>
          <w:lang w:eastAsia="pl-PL"/>
        </w:rPr>
        <w:t>Zarządzenie wchodzi w życie z dniem podpisania</w:t>
      </w:r>
      <w:r w:rsidR="00BE0859">
        <w:rPr>
          <w:rFonts w:eastAsia="Times New Roman"/>
          <w:lang w:eastAsia="pl-PL"/>
        </w:rPr>
        <w:t>.</w:t>
      </w:r>
    </w:p>
    <w:p w14:paraId="4EA998E5" w14:textId="77777777" w:rsidR="00BB279B" w:rsidRPr="009D6A0A" w:rsidRDefault="00BB279B" w:rsidP="00BB279B">
      <w:pPr>
        <w:spacing w:line="300" w:lineRule="auto"/>
        <w:ind w:left="6372"/>
        <w:rPr>
          <w:b/>
        </w:rPr>
      </w:pPr>
      <w:r w:rsidRPr="009D6A0A">
        <w:rPr>
          <w:b/>
        </w:rPr>
        <w:t>Prezydent</w:t>
      </w:r>
    </w:p>
    <w:p w14:paraId="5B5B7131" w14:textId="77777777" w:rsidR="00BB279B" w:rsidRPr="009D6A0A" w:rsidRDefault="00BB279B" w:rsidP="00BB279B">
      <w:pPr>
        <w:spacing w:line="300" w:lineRule="auto"/>
        <w:ind w:left="5580"/>
        <w:rPr>
          <w:b/>
        </w:rPr>
      </w:pPr>
      <w:r w:rsidRPr="009D6A0A">
        <w:rPr>
          <w:b/>
        </w:rPr>
        <w:t>Miasta Stołecznego Warszawy</w:t>
      </w:r>
    </w:p>
    <w:p w14:paraId="5E124322" w14:textId="77777777" w:rsidR="00BB279B" w:rsidRPr="00B720E8" w:rsidRDefault="00BB279B" w:rsidP="00BB279B">
      <w:pPr>
        <w:spacing w:line="300" w:lineRule="auto"/>
        <w:ind w:left="5954"/>
      </w:pPr>
      <w:r w:rsidRPr="009D6A0A">
        <w:rPr>
          <w:b/>
        </w:rPr>
        <w:t>/-/ Rafał Trzaskowski</w:t>
      </w:r>
    </w:p>
    <w:p w14:paraId="2D641851" w14:textId="77777777" w:rsidR="00BB279B" w:rsidRPr="00BB279B" w:rsidRDefault="00BB279B" w:rsidP="00BB279B">
      <w:pPr>
        <w:autoSpaceDE w:val="0"/>
        <w:autoSpaceDN w:val="0"/>
        <w:adjustRightInd w:val="0"/>
        <w:spacing w:after="240" w:line="300" w:lineRule="auto"/>
        <w:ind w:left="993"/>
        <w:contextualSpacing/>
      </w:pPr>
      <w:bookmarkStart w:id="0" w:name="_GoBack"/>
      <w:bookmarkEnd w:id="0"/>
    </w:p>
    <w:p w14:paraId="02B439B6" w14:textId="77777777" w:rsidR="00BB279B" w:rsidRDefault="00BB279B" w:rsidP="00BB279B">
      <w:pPr>
        <w:autoSpaceDE w:val="0"/>
        <w:autoSpaceDN w:val="0"/>
        <w:adjustRightInd w:val="0"/>
        <w:spacing w:after="240" w:line="300" w:lineRule="auto"/>
        <w:ind w:left="993"/>
        <w:contextualSpacing/>
      </w:pPr>
    </w:p>
    <w:sectPr w:rsidR="00BB279B" w:rsidSect="00B433C4"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E4576" w14:textId="77777777" w:rsidR="00E85EB8" w:rsidRDefault="00E85EB8" w:rsidP="00E85EB8">
      <w:r>
        <w:separator/>
      </w:r>
    </w:p>
  </w:endnote>
  <w:endnote w:type="continuationSeparator" w:id="0">
    <w:p w14:paraId="32C54F6C" w14:textId="77777777" w:rsidR="00E85EB8" w:rsidRDefault="00E85EB8" w:rsidP="00E85EB8">
      <w:r>
        <w:continuationSeparator/>
      </w:r>
    </w:p>
  </w:endnote>
  <w:endnote w:type="continuationNotice" w:id="1">
    <w:p w14:paraId="007F20B7" w14:textId="77777777" w:rsidR="006E6E1F" w:rsidRDefault="006E6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8CED5" w14:textId="77777777" w:rsidR="00B433C4" w:rsidRDefault="00A34C6C" w:rsidP="00B433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437B3A" w14:textId="77777777" w:rsidR="00B433C4" w:rsidRDefault="00BB279B" w:rsidP="00B433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2488" w14:textId="5666B3EA" w:rsidR="00B433C4" w:rsidRPr="001E0815" w:rsidRDefault="00A34C6C" w:rsidP="00B433C4">
    <w:pPr>
      <w:pStyle w:val="Stopka"/>
      <w:framePr w:wrap="around" w:vAnchor="text" w:hAnchor="margin" w:xAlign="center" w:y="1"/>
      <w:jc w:val="center"/>
      <w:rPr>
        <w:rStyle w:val="Numerstrony"/>
      </w:rPr>
    </w:pPr>
    <w:r w:rsidRPr="001E0815">
      <w:rPr>
        <w:rStyle w:val="Numerstrony"/>
      </w:rPr>
      <w:fldChar w:fldCharType="begin"/>
    </w:r>
    <w:r w:rsidRPr="001E0815">
      <w:rPr>
        <w:rStyle w:val="Numerstrony"/>
      </w:rPr>
      <w:instrText xml:space="preserve">PAGE  </w:instrText>
    </w:r>
    <w:r w:rsidRPr="001E0815">
      <w:rPr>
        <w:rStyle w:val="Numerstrony"/>
      </w:rPr>
      <w:fldChar w:fldCharType="separate"/>
    </w:r>
    <w:r>
      <w:rPr>
        <w:rStyle w:val="Numerstrony"/>
        <w:noProof/>
      </w:rPr>
      <w:t>3</w:t>
    </w:r>
    <w:r w:rsidRPr="001E0815">
      <w:rPr>
        <w:rStyle w:val="Numerstrony"/>
      </w:rPr>
      <w:fldChar w:fldCharType="end"/>
    </w:r>
  </w:p>
  <w:p w14:paraId="69A13D1C" w14:textId="77777777" w:rsidR="00B433C4" w:rsidRPr="00E40B0F" w:rsidRDefault="00BB279B" w:rsidP="00B433C4">
    <w:pPr>
      <w:pStyle w:val="Stopka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82275" w14:textId="77777777" w:rsidR="00E85EB8" w:rsidRDefault="00E85EB8" w:rsidP="00E85EB8">
      <w:r>
        <w:separator/>
      </w:r>
    </w:p>
  </w:footnote>
  <w:footnote w:type="continuationSeparator" w:id="0">
    <w:p w14:paraId="536F0213" w14:textId="77777777" w:rsidR="00E85EB8" w:rsidRDefault="00E85EB8" w:rsidP="00E85EB8">
      <w:r>
        <w:continuationSeparator/>
      </w:r>
    </w:p>
  </w:footnote>
  <w:footnote w:type="continuationNotice" w:id="1">
    <w:p w14:paraId="04DE51A9" w14:textId="77777777" w:rsidR="006E6E1F" w:rsidRDefault="006E6E1F"/>
  </w:footnote>
  <w:footnote w:id="2">
    <w:p w14:paraId="012D2F83" w14:textId="27808407" w:rsidR="00E85EB8" w:rsidRDefault="00E85EB8" w:rsidP="00E85EB8">
      <w:pPr>
        <w:spacing w:line="300" w:lineRule="auto"/>
        <w:rPr>
          <w:rFonts w:cstheme="minorHAnsi"/>
          <w:bCs/>
        </w:rPr>
      </w:pPr>
      <w:r w:rsidRPr="00373952">
        <w:rPr>
          <w:rStyle w:val="Odwoanieprzypisudolnego"/>
        </w:rPr>
        <w:footnoteRef/>
      </w:r>
      <w:r w:rsidRPr="00373952">
        <w:rPr>
          <w:vertAlign w:val="superscript"/>
        </w:rPr>
        <w:t>)</w:t>
      </w:r>
      <w:r w:rsidRPr="00373952">
        <w:t xml:space="preserve"> </w:t>
      </w:r>
      <w:r w:rsidRPr="00546932">
        <w:rPr>
          <w:rFonts w:cstheme="minorHAnsi"/>
        </w:rPr>
        <w:t xml:space="preserve">Zmiany wymienionego zarządzenia zostały wprowadzone zarządzeniami Prezydenta m.st. Warszawy nr 739/2007 z 28 sierpnia 2007 r., nr 895/2007 z 18 października 2007 r., nr 1010/2007 z 29 listopada 2007 r. i nr 1102/2007 z 27 grudnia 2007 r., nr 1186/2008 z 18 stycznia 2008 r., nr 1199/2008 z 22 stycznia 2008 r., nr 1401/2008 z 10 marca 2008 r., nr 1440/2008 z 20 marca 2008 r., nr 1541/2008 z 18 kwietnia 2008 r., nr 1646/2008 z 21 maja 2008 r., nr 1729/2008 z 12 czerwca 2008 r., nr 1792/2008 z </w:t>
      </w:r>
      <w:r>
        <w:rPr>
          <w:rFonts w:cstheme="minorHAnsi"/>
        </w:rPr>
        <w:t>1 lipca 2008 r., nr 1919/2008 z</w:t>
      </w:r>
      <w:r w:rsidRPr="00546932">
        <w:rPr>
          <w:rFonts w:cstheme="minorHAnsi"/>
        </w:rPr>
        <w:t xml:space="preserve"> 1 sierpnia 2008 r., nr 2019/2008 z 27 sierpnia 2008 r., nr 2193/2008 z 17 października 2008 r., nr 2357/2008 z 2 grudnia 2008 r. i nr 2467/2008 z 31 grudnia 2008 r., nr 2853/2009 z 14 kwietnia 2009 r., nr 3005/2009 z 8 maja 2009 r., nr 3145/2009 z 2 czerwca 2009 r., nr 3162/2009 z 3 czerwca 2009 r., nr 3252/2009 z 26 </w:t>
      </w:r>
      <w:r>
        <w:rPr>
          <w:rFonts w:cstheme="minorHAnsi"/>
        </w:rPr>
        <w:t>czerwca 2009 r., nr 3259/2009 z</w:t>
      </w:r>
      <w:r w:rsidRPr="00546932">
        <w:rPr>
          <w:rFonts w:cstheme="minorHAnsi"/>
        </w:rPr>
        <w:t xml:space="preserve"> 29 czerwca 2009 r., nr 3328/2009 z 14 lipca 2009 r., nr 3573/2009 z 20 sierpnia 2009 r., nr 3606/2009 z 1 września 2009 r., nr 3916/2009 z 4 grudnia 2009 r. i nr 4009/2009 z 30 grudnia 2009 r., nr 4175/2010 z 5 lutego 2010 r., nr 4210/2010 z 17 lutego 2010 r., nr 4399/2010 z 1 kwietnia 2010 r., nr 4486/2010 z 14 kwietnia 2010 r., nr 4763/2010 z 7 czerwca 2010 r., nr 5187/2010 z 4 sierpnia 2010 r., nr 5272/2010 z 27 sierpnia 2010 r., nr 5276/2010 z 31 sierpnia 2010 r. i nr 72/2010 z 20 grudnia 2010 r., nr 395/2011 z 15 marca 2011 r., nr 487/2011 z 31 marca 2011 r., nr 890/2011 z 30 maja 2011 r., nr 1333/2011 z 28 lipca 2011 r., nr 1494/2011 z 13 września 2011 r., nr 1698/2011 z 31 października 2011 r., nr 1804/2011 z 25 listopada 2011 r. i nr 1860/2011 z 20 grudnia 2011 r., nr 2029/2012 z 31 stycznia 2012 r., nr 2099/2012 z 15 lutego 2012 r., nr 2118/2012 z 21 lutego 2012 r., nr 2456/2012 z 27 kwietnia 2012 r., nr 2832/2012 z 2 lipca 2012 r., nr 2916/2012 z 13 lipca 2012 r., nr 3295/2012 z 3 września 2012 r., nr 3383/2012 z 27 września 2012 r., nr 3415/2012 z 3 października 2012 r. i nr 3474/2012 z 26 października 2012 r., nr 3737/2013 z 8 stycznia 2013 r., nr 3871/2013 z 5 lutego 2013 r., nr 3946/2013 z 26 lutego 2013 r., nr 4220/2013 z 26 kwietnia 2013 r., nr 4954/2013 z 9 września 2013 r. i nr 5331/2013 z 18 grudnia 2013 r., nr 6167/2014 z 12 czerwca 2014 r., nr 6629/2014 z 30 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 26 kwietnia 2016 r., nr 638/2016 z 4 maja 2016 r., nr 988/2016 z 8 lipca 2016 r., nr 1407/2016 z 19 września 2016 r., nr 1476/2016 z 30 września 2016 r., nr 1527/2016 z 10 października 2016 r., nr 1688/2016 z 23 listopada 2016 r., nr 1701/2016 z 23 listopada 2016 r., nr 1843/2016 z 16 grudnia 2016 r. i nr 1887/2016 z 29 grudnia 2016 r., nr 156/2017 z 3 lutego 2017 r.,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r., nr 1162/2018 z 19 lipca 2018 r., nr 1437/2018 z 31 sierpnia 2018 r., nr 1469/2018 z 10 września 2018 r., nr 1559/2018 z 1 października 2018 r. i nr 1851/2018 z 27 listopada 2018 r., nr 160/2019 z 5 lutego 2019 r., nr 624/2019 z 11 kwietnia 2019 r., nr 906/2019 z 29 maja 2019 r., nr 1037/2019 z 19 czerwca 2019 r., nr 1294/2019 z 2 sierpnia 2019 r., nr 1404/2019 z 30 sierpnia 2019 r., nr 1668/2019 z 12 listopada 2019 r. i nr 1868/2019 z 19 grudnia 2019 r.</w:t>
      </w:r>
      <w:r>
        <w:rPr>
          <w:rFonts w:cstheme="minorHAnsi"/>
        </w:rPr>
        <w:t xml:space="preserve">, </w:t>
      </w:r>
      <w:r w:rsidRPr="00546932">
        <w:rPr>
          <w:rFonts w:cstheme="minorHAnsi"/>
        </w:rPr>
        <w:t>nr 83/2020 z dnia 28 stycznia 2020 r.,</w:t>
      </w:r>
      <w:r w:rsidRPr="00546932">
        <w:rPr>
          <w:rFonts w:cstheme="minorHAnsi"/>
          <w:bCs/>
        </w:rPr>
        <w:t xml:space="preserve"> nr 167/2020 z dnia 10 lutego 2020 r., nr 1076/2020 z dnia 26 sierpnia 2020 r. i nr 1280/202</w:t>
      </w:r>
      <w:r>
        <w:rPr>
          <w:rFonts w:cstheme="minorHAnsi"/>
          <w:bCs/>
        </w:rPr>
        <w:t>0 z dnia 28 października 2020 r. oraz nr 178/2021 z 10 lutego 2021 r.</w:t>
      </w:r>
      <w:r w:rsidR="00BE0859">
        <w:rPr>
          <w:rFonts w:cstheme="minorHAnsi"/>
          <w:bCs/>
        </w:rPr>
        <w:t>,</w:t>
      </w:r>
      <w:r>
        <w:rPr>
          <w:rFonts w:cstheme="minorHAnsi"/>
          <w:bCs/>
        </w:rPr>
        <w:t xml:space="preserve"> nr 475/2021 z 26 marca 2021 r.</w:t>
      </w:r>
      <w:r w:rsidR="00BE0859">
        <w:rPr>
          <w:rFonts w:cstheme="minorHAnsi"/>
          <w:bCs/>
        </w:rPr>
        <w:t xml:space="preserve"> </w:t>
      </w:r>
      <w:r w:rsidR="00BE0859">
        <w:rPr>
          <w:rFonts w:cstheme="minorHAnsi"/>
        </w:rPr>
        <w:t>i nr 1146/2021 z dnia 16 lipca 2021 r.</w:t>
      </w:r>
    </w:p>
    <w:p w14:paraId="3D847567" w14:textId="77777777" w:rsidR="00E85EB8" w:rsidRPr="00373952" w:rsidRDefault="00E85EB8" w:rsidP="00E85EB8">
      <w:pPr>
        <w:pStyle w:val="Tekstprzypisudolnego"/>
        <w:spacing w:line="300" w:lineRule="auto"/>
        <w:ind w:left="142" w:hanging="142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4260E" w14:textId="301EA536" w:rsidR="00BB279B" w:rsidRPr="00BB279B" w:rsidRDefault="00BB279B">
    <w:pPr>
      <w:pStyle w:val="Nagwek"/>
      <w:rPr>
        <w:b/>
        <w:bCs/>
      </w:rPr>
    </w:pPr>
    <w:r w:rsidRPr="00BB279B">
      <w:rPr>
        <w:b/>
        <w:bCs/>
      </w:rPr>
      <w:t>GP-OR.0050.1828.2021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25B4"/>
    <w:multiLevelType w:val="hybridMultilevel"/>
    <w:tmpl w:val="5F6A00EC"/>
    <w:lvl w:ilvl="0" w:tplc="09F677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3D123F"/>
    <w:multiLevelType w:val="hybridMultilevel"/>
    <w:tmpl w:val="31E801FA"/>
    <w:lvl w:ilvl="0" w:tplc="452E520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AD5C50"/>
    <w:multiLevelType w:val="hybridMultilevel"/>
    <w:tmpl w:val="0ECAD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46E24"/>
    <w:multiLevelType w:val="hybridMultilevel"/>
    <w:tmpl w:val="53E0363A"/>
    <w:lvl w:ilvl="0" w:tplc="BE9618D0">
      <w:start w:val="1"/>
      <w:numFmt w:val="decimal"/>
      <w:lvlText w:val="%1."/>
      <w:lvlJc w:val="left"/>
      <w:pPr>
        <w:ind w:left="720" w:hanging="360"/>
      </w:pPr>
    </w:lvl>
    <w:lvl w:ilvl="1" w:tplc="282688C0">
      <w:start w:val="1"/>
      <w:numFmt w:val="decimal"/>
      <w:lvlText w:val="%2)"/>
      <w:lvlJc w:val="left"/>
      <w:pPr>
        <w:ind w:left="1440" w:hanging="360"/>
      </w:pPr>
    </w:lvl>
    <w:lvl w:ilvl="2" w:tplc="AB78B73C">
      <w:start w:val="1"/>
      <w:numFmt w:val="lowerRoman"/>
      <w:lvlText w:val="%3."/>
      <w:lvlJc w:val="right"/>
      <w:pPr>
        <w:ind w:left="2160" w:hanging="180"/>
      </w:pPr>
    </w:lvl>
    <w:lvl w:ilvl="3" w:tplc="E70EA66E">
      <w:start w:val="1"/>
      <w:numFmt w:val="decimal"/>
      <w:lvlText w:val="%4."/>
      <w:lvlJc w:val="left"/>
      <w:pPr>
        <w:ind w:left="2880" w:hanging="360"/>
      </w:pPr>
    </w:lvl>
    <w:lvl w:ilvl="4" w:tplc="5456C7B4">
      <w:start w:val="1"/>
      <w:numFmt w:val="lowerLetter"/>
      <w:lvlText w:val="%5."/>
      <w:lvlJc w:val="left"/>
      <w:pPr>
        <w:ind w:left="3600" w:hanging="360"/>
      </w:pPr>
    </w:lvl>
    <w:lvl w:ilvl="5" w:tplc="E1EE1592">
      <w:start w:val="1"/>
      <w:numFmt w:val="lowerRoman"/>
      <w:lvlText w:val="%6."/>
      <w:lvlJc w:val="right"/>
      <w:pPr>
        <w:ind w:left="4320" w:hanging="180"/>
      </w:pPr>
    </w:lvl>
    <w:lvl w:ilvl="6" w:tplc="DD5C9FB4">
      <w:start w:val="1"/>
      <w:numFmt w:val="decimal"/>
      <w:lvlText w:val="%7."/>
      <w:lvlJc w:val="left"/>
      <w:pPr>
        <w:ind w:left="5040" w:hanging="360"/>
      </w:pPr>
    </w:lvl>
    <w:lvl w:ilvl="7" w:tplc="66541438">
      <w:start w:val="1"/>
      <w:numFmt w:val="lowerLetter"/>
      <w:lvlText w:val="%8."/>
      <w:lvlJc w:val="left"/>
      <w:pPr>
        <w:ind w:left="5760" w:hanging="360"/>
      </w:pPr>
    </w:lvl>
    <w:lvl w:ilvl="8" w:tplc="29F880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5711A"/>
    <w:multiLevelType w:val="hybridMultilevel"/>
    <w:tmpl w:val="2424BE6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b w:val="0"/>
        <w:i w:val="0"/>
        <w:color w:val="000000"/>
        <w:sz w:val="24"/>
      </w:rPr>
    </w:lvl>
    <w:lvl w:ilvl="1" w:tplc="D6A6243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15C9E"/>
    <w:multiLevelType w:val="hybridMultilevel"/>
    <w:tmpl w:val="D8861BE8"/>
    <w:lvl w:ilvl="0" w:tplc="47225BFE">
      <w:start w:val="1"/>
      <w:numFmt w:val="lowerLetter"/>
      <w:lvlText w:val="%1)"/>
      <w:lvlJc w:val="left"/>
      <w:pPr>
        <w:ind w:left="149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2001CF0"/>
    <w:multiLevelType w:val="multilevel"/>
    <w:tmpl w:val="98F0C7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B8"/>
    <w:rsid w:val="0054235D"/>
    <w:rsid w:val="00603AA9"/>
    <w:rsid w:val="00625967"/>
    <w:rsid w:val="006E6E1F"/>
    <w:rsid w:val="00A10717"/>
    <w:rsid w:val="00A34C6C"/>
    <w:rsid w:val="00A70387"/>
    <w:rsid w:val="00BB279B"/>
    <w:rsid w:val="00BE0859"/>
    <w:rsid w:val="00D37AF8"/>
    <w:rsid w:val="00E85EB8"/>
    <w:rsid w:val="00EF58E4"/>
    <w:rsid w:val="05995661"/>
    <w:rsid w:val="12041E90"/>
    <w:rsid w:val="323E3288"/>
    <w:rsid w:val="37E4C280"/>
    <w:rsid w:val="44339F7A"/>
    <w:rsid w:val="5FB7158D"/>
    <w:rsid w:val="748C4822"/>
    <w:rsid w:val="783CA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6FB3"/>
  <w15:chartTrackingRefBased/>
  <w15:docId w15:val="{F897FC44-9585-4624-99CA-BC7198B4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ostępny"/>
    <w:qFormat/>
    <w:rsid w:val="00E85EB8"/>
    <w:pPr>
      <w:spacing w:after="0" w:line="240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E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EB8"/>
    <w:rPr>
      <w:rFonts w:eastAsiaTheme="minorHAns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85E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EB8"/>
    <w:rPr>
      <w:rFonts w:eastAsiaTheme="minorHAnsi"/>
    </w:rPr>
  </w:style>
  <w:style w:type="character" w:styleId="Odwoanieprzypisudolnego">
    <w:name w:val="footnote reference"/>
    <w:aliases w:val="Odwo³anie przypisu,Odwołanie przypisu"/>
    <w:semiHidden/>
    <w:rsid w:val="00E85EB8"/>
    <w:rPr>
      <w:rFonts w:cs="Times New Roman"/>
      <w:vertAlign w:val="superscript"/>
    </w:rPr>
  </w:style>
  <w:style w:type="character" w:styleId="Numerstrony">
    <w:name w:val="page number"/>
    <w:uiPriority w:val="99"/>
    <w:rsid w:val="00E85EB8"/>
    <w:rPr>
      <w:rFonts w:cs="Times New Roman"/>
    </w:rPr>
  </w:style>
  <w:style w:type="paragraph" w:styleId="Akapitzlist">
    <w:name w:val="List Paragraph"/>
    <w:basedOn w:val="Normalny"/>
    <w:uiPriority w:val="34"/>
    <w:qFormat/>
    <w:rsid w:val="00E85EB8"/>
    <w:pPr>
      <w:ind w:left="720"/>
      <w:contextualSpacing/>
    </w:pPr>
  </w:style>
  <w:style w:type="character" w:customStyle="1" w:styleId="normaltextrun">
    <w:name w:val="normaltextrun"/>
    <w:basedOn w:val="Domylnaczcionkaakapitu"/>
    <w:rsid w:val="00A10717"/>
  </w:style>
  <w:style w:type="character" w:customStyle="1" w:styleId="eop">
    <w:name w:val="eop"/>
    <w:basedOn w:val="Domylnaczcionkaakapitu"/>
    <w:rsid w:val="00A10717"/>
  </w:style>
  <w:style w:type="paragraph" w:styleId="Nagwek">
    <w:name w:val="header"/>
    <w:basedOn w:val="Normalny"/>
    <w:link w:val="NagwekZnak"/>
    <w:uiPriority w:val="99"/>
    <w:unhideWhenUsed/>
    <w:rsid w:val="006E6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E1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8c80e-3b8a-452c-89f1-51b111b34f15">
      <UserInfo>
        <DisplayName>Waśkiewicz Bogusława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37E2B-9696-40A5-A025-E88272D0A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5B562-F250-4E9C-AE49-8913DB06D27F}">
  <ds:schemaRefs>
    <ds:schemaRef ds:uri="http://schemas.microsoft.com/office/2006/metadata/properties"/>
    <ds:schemaRef ds:uri="http://schemas.microsoft.com/office/infopath/2007/PartnerControls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69EE1985-1CA6-4CBA-92B4-BCABF682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 Małgorzata (OU)</dc:creator>
  <cp:keywords/>
  <dc:description/>
  <cp:lastModifiedBy>Wojciechowicz Agnieszka</cp:lastModifiedBy>
  <cp:revision>2</cp:revision>
  <dcterms:created xsi:type="dcterms:W3CDTF">2021-11-18T14:16:00Z</dcterms:created>
  <dcterms:modified xsi:type="dcterms:W3CDTF">2021-11-18T14:16:00Z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