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24824" w14:textId="77777777" w:rsidR="004F5C10" w:rsidRPr="00B23936" w:rsidRDefault="004F5C10" w:rsidP="00B23936">
      <w:pPr>
        <w:pStyle w:val="Nagwek1"/>
        <w:ind w:firstLine="0"/>
        <w:contextualSpacing w:val="0"/>
        <w:rPr>
          <w:sz w:val="24"/>
        </w:rPr>
      </w:pPr>
      <w:bookmarkStart w:id="0" w:name="_GoBack"/>
      <w:bookmarkEnd w:id="0"/>
      <w:r w:rsidRPr="00B23936">
        <w:rPr>
          <w:sz w:val="24"/>
        </w:rPr>
        <w:t>Tekst ujednolicony</w:t>
      </w:r>
    </w:p>
    <w:p w14:paraId="28E2DE57" w14:textId="6D2CBCCC" w:rsidR="00225B9B" w:rsidRPr="00B23936" w:rsidRDefault="004F5C10" w:rsidP="00B23936">
      <w:pPr>
        <w:ind w:firstLine="0"/>
        <w:contextualSpacing w:val="0"/>
        <w:rPr>
          <w:b/>
        </w:rPr>
      </w:pPr>
      <w:r w:rsidRPr="00FA0D41">
        <w:t xml:space="preserve">zarządzenia nr 678/2017 Prezydenta Miasta Stołecznego Warszawy z 5 kwietnia 2017 r. w sprawie w sprawie określenia sposobu postępowania pracowników Urzędu m.st. Warszawy z podmiotami wykonującymi zawodową działalność lobbingową oraz z podmiotami wykonującymi bez wpisu do rejestru czynności z zakresu zawodowej działalności lobbingowej uwzględniający zmiany wprowadzone zarządzeniem nr </w:t>
      </w:r>
      <w:r w:rsidR="0060692B">
        <w:t>676</w:t>
      </w:r>
      <w:r w:rsidRPr="00FA0D41">
        <w:t xml:space="preserve">/2023 Prezydenta Miasta </w:t>
      </w:r>
      <w:r w:rsidR="006B039D">
        <w:t xml:space="preserve">Stołecznego Warszawy z </w:t>
      </w:r>
      <w:r w:rsidR="0060692B">
        <w:t>5 kwietnia</w:t>
      </w:r>
      <w:r w:rsidRPr="00FA0D41">
        <w:t xml:space="preserve"> 2023 r.</w:t>
      </w:r>
    </w:p>
    <w:p w14:paraId="4BD744B6" w14:textId="65DAE1C5" w:rsidR="00E83231" w:rsidRPr="00B23936" w:rsidRDefault="00E83231" w:rsidP="00B23936">
      <w:pPr>
        <w:pStyle w:val="Nagwek1"/>
        <w:ind w:firstLine="0"/>
        <w:contextualSpacing w:val="0"/>
        <w:rPr>
          <w:sz w:val="24"/>
        </w:rPr>
      </w:pPr>
      <w:r w:rsidRPr="00B23936">
        <w:rPr>
          <w:sz w:val="24"/>
        </w:rPr>
        <w:t xml:space="preserve">ZARZĄDZENIE NR </w:t>
      </w:r>
      <w:r w:rsidR="00283E2E" w:rsidRPr="00B23936">
        <w:rPr>
          <w:sz w:val="24"/>
        </w:rPr>
        <w:t>678</w:t>
      </w:r>
      <w:r w:rsidRPr="00B23936">
        <w:rPr>
          <w:sz w:val="24"/>
        </w:rPr>
        <w:t>/20</w:t>
      </w:r>
      <w:r w:rsidR="00283E2E" w:rsidRPr="00B23936">
        <w:rPr>
          <w:sz w:val="24"/>
        </w:rPr>
        <w:t>17</w:t>
      </w:r>
      <w:r w:rsidR="00E30831" w:rsidRPr="00B23936">
        <w:rPr>
          <w:sz w:val="24"/>
        </w:rPr>
        <w:br/>
      </w:r>
      <w:r w:rsidRPr="00B23936">
        <w:rPr>
          <w:sz w:val="24"/>
        </w:rPr>
        <w:t>PREZYDENTA MIASTA STOŁECZNEGO WARSZ</w:t>
      </w:r>
      <w:r w:rsidR="0042617A">
        <w:rPr>
          <w:sz w:val="24"/>
        </w:rPr>
        <w:t>AWY</w:t>
      </w:r>
      <w:r w:rsidR="00E30831" w:rsidRPr="00B23936">
        <w:rPr>
          <w:sz w:val="24"/>
        </w:rPr>
        <w:br/>
      </w:r>
      <w:r w:rsidRPr="00B23936">
        <w:rPr>
          <w:sz w:val="24"/>
        </w:rPr>
        <w:t xml:space="preserve">z dnia </w:t>
      </w:r>
      <w:r w:rsidR="00283E2E" w:rsidRPr="00B23936">
        <w:rPr>
          <w:sz w:val="24"/>
        </w:rPr>
        <w:t xml:space="preserve">5 kwietnia </w:t>
      </w:r>
      <w:r w:rsidRPr="00B23936">
        <w:rPr>
          <w:sz w:val="24"/>
        </w:rPr>
        <w:t>20</w:t>
      </w:r>
      <w:r w:rsidR="00283E2E" w:rsidRPr="00B23936">
        <w:rPr>
          <w:sz w:val="24"/>
        </w:rPr>
        <w:t xml:space="preserve">17 </w:t>
      </w:r>
      <w:r w:rsidRPr="00B23936">
        <w:rPr>
          <w:sz w:val="24"/>
        </w:rPr>
        <w:t>r.</w:t>
      </w:r>
    </w:p>
    <w:p w14:paraId="1C73DB14" w14:textId="77777777" w:rsidR="00E83231" w:rsidRPr="001558DE" w:rsidRDefault="00E83231" w:rsidP="009105C6">
      <w:pPr>
        <w:pStyle w:val="Nagwek1"/>
        <w:ind w:firstLine="0"/>
      </w:pPr>
      <w:r w:rsidRPr="001558DE">
        <w:t>w sprawie określenia sposobu postępowania pracowników Urzędu m.st. Warszawy z</w:t>
      </w:r>
      <w:r w:rsidR="00242D5B" w:rsidRPr="001558DE">
        <w:t> </w:t>
      </w:r>
      <w:r w:rsidRPr="001558DE">
        <w:t>podmiotami wykonującymi zawodową działalność lobbingową oraz z podmiotami wykonującymi bez wpisu do rejestru czynności z zakresu zawodowej działalności lobbingowej</w:t>
      </w:r>
    </w:p>
    <w:p w14:paraId="23A84364" w14:textId="24AFB88D" w:rsidR="00E83231" w:rsidRPr="00175814" w:rsidRDefault="00E83231" w:rsidP="00F41C58">
      <w:pPr>
        <w:ind w:firstLine="0"/>
        <w:contextualSpacing w:val="0"/>
      </w:pPr>
      <w:r w:rsidRPr="00175814">
        <w:t>Na podstawie art. 16 ust. 2 ustawy z dnia 7 lipca 2005 r. o działalności lobbingowej w</w:t>
      </w:r>
      <w:r w:rsidR="00FF0CD5" w:rsidRPr="00175814">
        <w:t> </w:t>
      </w:r>
      <w:r w:rsidRPr="00175814">
        <w:t>procesie stanowienia prawa (Dz. U.</w:t>
      </w:r>
      <w:r w:rsidR="00857F47" w:rsidRPr="00175814">
        <w:t xml:space="preserve"> </w:t>
      </w:r>
      <w:r w:rsidR="00465421" w:rsidRPr="00175814">
        <w:t>2017</w:t>
      </w:r>
      <w:r w:rsidRPr="00175814">
        <w:t xml:space="preserve"> poz.</w:t>
      </w:r>
      <w:r w:rsidR="00465421" w:rsidRPr="00175814">
        <w:t xml:space="preserve"> 248</w:t>
      </w:r>
      <w:r w:rsidRPr="00175814">
        <w:t>) oraz art. 33 ust. 3 w</w:t>
      </w:r>
      <w:r w:rsidR="00FF0CD5" w:rsidRPr="00175814">
        <w:t> </w:t>
      </w:r>
      <w:r w:rsidRPr="00175814">
        <w:t>zw. z art. 11a ust. 3 ustawy z dnia 8 marca 1990 r. o samorządzie gminnym (Dz. U. 20</w:t>
      </w:r>
      <w:r w:rsidR="00C11075" w:rsidRPr="00175814">
        <w:t>23</w:t>
      </w:r>
      <w:r w:rsidR="00857F47" w:rsidRPr="00175814">
        <w:t xml:space="preserve"> </w:t>
      </w:r>
      <w:r w:rsidRPr="00175814">
        <w:t>poz.</w:t>
      </w:r>
      <w:r w:rsidR="00C11075" w:rsidRPr="00175814">
        <w:t xml:space="preserve"> 40</w:t>
      </w:r>
      <w:r w:rsidRPr="00175814">
        <w:t>) zarządza się, co następuje:</w:t>
      </w:r>
    </w:p>
    <w:p w14:paraId="092E24DB" w14:textId="6993D624" w:rsidR="00E83231" w:rsidRPr="00175814" w:rsidRDefault="00E83231" w:rsidP="0035425A">
      <w:pPr>
        <w:contextualSpacing w:val="0"/>
      </w:pPr>
      <w:r w:rsidRPr="00175814">
        <w:rPr>
          <w:b/>
        </w:rPr>
        <w:t xml:space="preserve">§ 1. </w:t>
      </w:r>
      <w:r w:rsidRPr="00175814">
        <w:t>Zarządzenie określa sposób postępowania pracowników Urzędu z podmiotami wykonującymi działalność lobbingową w procesie stanowienia prawa, w tym sposób dokumentowania kontaktów podejmowanych przez podmioty wy</w:t>
      </w:r>
      <w:r w:rsidR="0035425A">
        <w:t xml:space="preserve">konujące działalność lobbingową </w:t>
      </w:r>
      <w:r w:rsidRPr="00175814">
        <w:t>z</w:t>
      </w:r>
      <w:r w:rsidR="0035425A">
        <w:t> </w:t>
      </w:r>
      <w:r w:rsidRPr="00175814">
        <w:t>pracownikami Urzędu.</w:t>
      </w:r>
    </w:p>
    <w:p w14:paraId="4A488AA6" w14:textId="77777777" w:rsidR="00E83231" w:rsidRPr="00175814" w:rsidRDefault="00E83231" w:rsidP="005D3FD7">
      <w:pPr>
        <w:spacing w:before="240" w:after="0"/>
        <w:contextualSpacing w:val="0"/>
      </w:pPr>
      <w:r w:rsidRPr="00175814">
        <w:rPr>
          <w:b/>
        </w:rPr>
        <w:t xml:space="preserve">§ 2. </w:t>
      </w:r>
      <w:r w:rsidRPr="00175814">
        <w:t>1.</w:t>
      </w:r>
      <w:r w:rsidRPr="00175814">
        <w:rPr>
          <w:b/>
        </w:rPr>
        <w:t xml:space="preserve"> </w:t>
      </w:r>
      <w:r w:rsidRPr="00175814">
        <w:t>Ilekroć w zarządzeniu jest mowa o:</w:t>
      </w:r>
    </w:p>
    <w:p w14:paraId="5BFBD8C5" w14:textId="77777777" w:rsidR="00E83231" w:rsidRPr="00175814" w:rsidRDefault="00E83231" w:rsidP="00B23936">
      <w:pPr>
        <w:pStyle w:val="Akapitzlist"/>
        <w:numPr>
          <w:ilvl w:val="0"/>
          <w:numId w:val="12"/>
        </w:numPr>
        <w:ind w:left="851" w:hanging="284"/>
      </w:pPr>
      <w:r w:rsidRPr="00175814">
        <w:t>komórce organizacyjnej - rozumie się przez to biuro Urzędu m.st. Warszawy, Urząd Stanu Cywilnego m.st. Warszawy oraz urząd dzielnicy, którego zakresu działania dotyczy wystąpienie podmiotu wykonującego działalność lobbingową;</w:t>
      </w:r>
    </w:p>
    <w:p w14:paraId="67B7EEEE" w14:textId="2B0C117C" w:rsidR="00E83231" w:rsidRPr="00175814" w:rsidRDefault="00E83231" w:rsidP="00715F8B">
      <w:pPr>
        <w:pStyle w:val="Akapitzlist"/>
        <w:numPr>
          <w:ilvl w:val="0"/>
          <w:numId w:val="12"/>
        </w:numPr>
        <w:ind w:left="851" w:hanging="284"/>
      </w:pPr>
      <w:r w:rsidRPr="00175814">
        <w:t>koordynatorze - rozumie się przez to</w:t>
      </w:r>
      <w:r w:rsidR="00D058EC" w:rsidRPr="00175814">
        <w:t xml:space="preserve"> </w:t>
      </w:r>
      <w:r w:rsidR="00020A18" w:rsidRPr="00175814">
        <w:t>osobę wskazaną przez dyrektora biura właściwego do spraw</w:t>
      </w:r>
      <w:r w:rsidR="00465421" w:rsidRPr="00175814">
        <w:t xml:space="preserve"> zgodności</w:t>
      </w:r>
      <w:r w:rsidRPr="00175814">
        <w:t xml:space="preserve"> </w:t>
      </w:r>
      <w:r w:rsidR="00020A18" w:rsidRPr="00175814">
        <w:t>Urzędu m.st. Warszawy;</w:t>
      </w:r>
    </w:p>
    <w:p w14:paraId="165619D9" w14:textId="65176028" w:rsidR="00E83231" w:rsidRPr="00175814" w:rsidRDefault="00E83231" w:rsidP="00715F8B">
      <w:pPr>
        <w:pStyle w:val="Akapitzlist"/>
        <w:numPr>
          <w:ilvl w:val="0"/>
          <w:numId w:val="12"/>
        </w:numPr>
        <w:ind w:left="851" w:hanging="284"/>
      </w:pPr>
      <w:r w:rsidRPr="00175814">
        <w:t>podmiotach wykonujących działalność lobbingową - rozumie się przez to podmioty wykonujące zawodową działalność lobbingową oraz podmioty wykonujące bez wpisu do rejestru podmiotów wykonujących zawodową działalność lobbingową, czynności z</w:t>
      </w:r>
      <w:r w:rsidR="0035425A">
        <w:t> </w:t>
      </w:r>
      <w:r w:rsidRPr="00175814">
        <w:t>zakresu zawodowej działalności lobbingowej, o których mowa w ustawie;</w:t>
      </w:r>
    </w:p>
    <w:p w14:paraId="002A5734" w14:textId="77777777" w:rsidR="00E83231" w:rsidRPr="00175814" w:rsidRDefault="00E83231" w:rsidP="00715F8B">
      <w:pPr>
        <w:pStyle w:val="Akapitzlist"/>
        <w:numPr>
          <w:ilvl w:val="0"/>
          <w:numId w:val="12"/>
        </w:numPr>
        <w:ind w:left="851" w:hanging="284"/>
      </w:pPr>
      <w:r w:rsidRPr="00175814">
        <w:t>Rejestrze - rozumie się przez to Rejestr wystąpień podmiotów wykonujących działalność lobbingową w Urzędzie m.st. Warszawy;</w:t>
      </w:r>
    </w:p>
    <w:p w14:paraId="7360104C" w14:textId="0AF279C6" w:rsidR="00E83231" w:rsidRPr="00175814" w:rsidRDefault="00E83231" w:rsidP="00715F8B">
      <w:pPr>
        <w:pStyle w:val="Akapitzlist"/>
        <w:numPr>
          <w:ilvl w:val="0"/>
          <w:numId w:val="12"/>
        </w:numPr>
        <w:ind w:left="851" w:hanging="284"/>
      </w:pPr>
      <w:r w:rsidRPr="00175814">
        <w:t xml:space="preserve">ustawie - rozumie się przez to ustawę z dnia 7 lipca 2005 r. o działalności lobbingowej w procesie stanowienia prawa (Dz. U. </w:t>
      </w:r>
      <w:r w:rsidR="00465421" w:rsidRPr="00175814">
        <w:t xml:space="preserve">2017 </w:t>
      </w:r>
      <w:r w:rsidRPr="00175814">
        <w:t xml:space="preserve">poz. </w:t>
      </w:r>
      <w:r w:rsidR="00465421" w:rsidRPr="00175814">
        <w:t>248</w:t>
      </w:r>
      <w:r w:rsidRPr="00175814">
        <w:t>).</w:t>
      </w:r>
    </w:p>
    <w:p w14:paraId="475E2C78" w14:textId="77777777" w:rsidR="00E83231" w:rsidRPr="00175814" w:rsidRDefault="00E83231" w:rsidP="009105C6">
      <w:pPr>
        <w:contextualSpacing w:val="0"/>
      </w:pPr>
      <w:r w:rsidRPr="00175814">
        <w:lastRenderedPageBreak/>
        <w:t>2. Zgodnie z ustawą zawodową działalnością lobbingową jest zarobkowa działalność lobbingowa prowadzona na rzecz osób trzecich w celu uwzględnienia w procesie stanowienia prawa interesów tych osób.</w:t>
      </w:r>
    </w:p>
    <w:p w14:paraId="02DCDF60" w14:textId="77777777" w:rsidR="00E83231" w:rsidRPr="00175814" w:rsidRDefault="00E83231" w:rsidP="005D3FD7">
      <w:pPr>
        <w:spacing w:after="0"/>
      </w:pPr>
      <w:r w:rsidRPr="00175814">
        <w:rPr>
          <w:b/>
        </w:rPr>
        <w:t xml:space="preserve">§ 3. </w:t>
      </w:r>
      <w:r w:rsidRPr="00175814">
        <w:t>1.</w:t>
      </w:r>
      <w:r w:rsidRPr="00175814">
        <w:rPr>
          <w:b/>
        </w:rPr>
        <w:t xml:space="preserve"> </w:t>
      </w:r>
      <w:r w:rsidRPr="00175814">
        <w:t>Wystąpienia podmiotów wykonujących działalność lobbingową mogą dotyczyć aktów prawa miejscowego i mieć formę</w:t>
      </w:r>
      <w:r w:rsidR="004512DB" w:rsidRPr="00175814">
        <w:t xml:space="preserve"> w szczególności</w:t>
      </w:r>
      <w:r w:rsidRPr="00175814">
        <w:t>:</w:t>
      </w:r>
    </w:p>
    <w:p w14:paraId="6E7208F0" w14:textId="77777777" w:rsidR="00E83231" w:rsidRPr="00175814" w:rsidRDefault="00E83231" w:rsidP="00715F8B">
      <w:pPr>
        <w:pStyle w:val="Akapitzlist"/>
        <w:numPr>
          <w:ilvl w:val="0"/>
          <w:numId w:val="13"/>
        </w:numPr>
        <w:ind w:left="851" w:hanging="284"/>
      </w:pPr>
      <w:r w:rsidRPr="00175814">
        <w:t>wniosku o podjęcie inicjatywy uchwałodawczej;</w:t>
      </w:r>
    </w:p>
    <w:p w14:paraId="27CDDFB2" w14:textId="77777777" w:rsidR="00E83231" w:rsidRPr="00175814" w:rsidRDefault="00E83231" w:rsidP="00715F8B">
      <w:pPr>
        <w:pStyle w:val="Akapitzlist"/>
        <w:numPr>
          <w:ilvl w:val="0"/>
          <w:numId w:val="13"/>
        </w:numPr>
        <w:ind w:left="851" w:hanging="284"/>
      </w:pPr>
      <w:r w:rsidRPr="00175814">
        <w:t>opinii na temat proponowanych rozwiązań prawnych, zawierających opis przewidywanych skutków ich wprowadzenia;</w:t>
      </w:r>
    </w:p>
    <w:p w14:paraId="200B677D" w14:textId="77777777" w:rsidR="00E83231" w:rsidRPr="00175814" w:rsidRDefault="00E83231" w:rsidP="00715F8B">
      <w:pPr>
        <w:pStyle w:val="Akapitzlist"/>
        <w:numPr>
          <w:ilvl w:val="0"/>
          <w:numId w:val="13"/>
        </w:numPr>
        <w:ind w:left="851" w:hanging="284"/>
      </w:pPr>
      <w:r w:rsidRPr="00175814">
        <w:t xml:space="preserve">propozycji odbycia spotkań w celu omówienia </w:t>
      </w:r>
      <w:r w:rsidR="00020A18" w:rsidRPr="00175814">
        <w:t>zmiany określonej kwestii uregulowanej prawnie lub wymagającej takiej regulacji;</w:t>
      </w:r>
    </w:p>
    <w:p w14:paraId="708DE63F" w14:textId="77777777" w:rsidR="00E83231" w:rsidRPr="00175814" w:rsidRDefault="00020A18" w:rsidP="00715F8B">
      <w:pPr>
        <w:pStyle w:val="Akapitzlist"/>
        <w:numPr>
          <w:ilvl w:val="0"/>
          <w:numId w:val="13"/>
        </w:numPr>
        <w:ind w:left="851" w:hanging="284"/>
      </w:pPr>
      <w:r w:rsidRPr="00175814">
        <w:t>zgłoszenia zainteresowania pracami</w:t>
      </w:r>
      <w:r w:rsidR="00E83231" w:rsidRPr="00175814">
        <w:t xml:space="preserve"> nad projektem aktu.</w:t>
      </w:r>
    </w:p>
    <w:p w14:paraId="0EC6F5CD" w14:textId="77777777" w:rsidR="00E83231" w:rsidRPr="00175814" w:rsidRDefault="00E83231" w:rsidP="005D3FD7">
      <w:pPr>
        <w:spacing w:after="0"/>
      </w:pPr>
      <w:r w:rsidRPr="00175814">
        <w:t>2. Jeżeli wystąpienie, o którym mowa w ust. 1, nie zawiera:</w:t>
      </w:r>
    </w:p>
    <w:p w14:paraId="01D07725" w14:textId="77777777" w:rsidR="00E83231" w:rsidRPr="00175814" w:rsidRDefault="00E83231" w:rsidP="00715F8B">
      <w:pPr>
        <w:pStyle w:val="Akapitzlist"/>
        <w:numPr>
          <w:ilvl w:val="0"/>
          <w:numId w:val="14"/>
        </w:numPr>
        <w:ind w:left="851" w:hanging="284"/>
      </w:pPr>
      <w:r w:rsidRPr="00175814">
        <w:t>informacji</w:t>
      </w:r>
      <w:r w:rsidR="00637C21" w:rsidRPr="00175814">
        <w:t>,</w:t>
      </w:r>
      <w:r w:rsidRPr="00175814">
        <w:t xml:space="preserve"> czy wystąpienie pochodzi od podmiotu wykonującego zawodową działalność lobbingową lub czynności z zakresu zawodowej działalności lobbingowej, lub</w:t>
      </w:r>
    </w:p>
    <w:p w14:paraId="3577665D" w14:textId="725AD569" w:rsidR="00E83231" w:rsidRPr="00175814" w:rsidRDefault="00E83231" w:rsidP="00715F8B">
      <w:pPr>
        <w:pStyle w:val="Akapitzlist"/>
        <w:numPr>
          <w:ilvl w:val="0"/>
          <w:numId w:val="14"/>
        </w:numPr>
        <w:ind w:left="851" w:hanging="284"/>
      </w:pPr>
      <w:r w:rsidRPr="00175814">
        <w:t>zaświadczenia albo oświadczenia o wpisie do rejestru podmiotów wykonujących zawod</w:t>
      </w:r>
      <w:r w:rsidR="0042617A">
        <w:t>ową działalność lobbingową, lub</w:t>
      </w:r>
    </w:p>
    <w:p w14:paraId="409EBFCD" w14:textId="3E38E1EB" w:rsidR="00E83231" w:rsidRPr="00175814" w:rsidRDefault="00E83231" w:rsidP="00B23936">
      <w:pPr>
        <w:pStyle w:val="Akapitzlist"/>
        <w:numPr>
          <w:ilvl w:val="0"/>
          <w:numId w:val="14"/>
        </w:numPr>
        <w:ind w:left="851" w:hanging="284"/>
      </w:pPr>
      <w:r w:rsidRPr="00175814">
        <w:t xml:space="preserve">oświadczenia wskazującego podmioty, na rzecz których wykonywana jest </w:t>
      </w:r>
      <w:r w:rsidR="0042617A">
        <w:t>zawodowa działalność lobbingowa.</w:t>
      </w:r>
    </w:p>
    <w:p w14:paraId="2530E6ED" w14:textId="616BA029" w:rsidR="00E83231" w:rsidRPr="00175814" w:rsidRDefault="00715F8B" w:rsidP="00B23936">
      <w:pPr>
        <w:contextualSpacing w:val="0"/>
      </w:pPr>
      <w:r>
        <w:t>2. K</w:t>
      </w:r>
      <w:r w:rsidRPr="00175814">
        <w:t xml:space="preserve">omórka </w:t>
      </w:r>
      <w:r w:rsidR="00E83231" w:rsidRPr="00175814">
        <w:t>organizacyjna zwraca się do podmiotu wykonującego działalność lobbingową z wnioskiem o wypełnienie formularza, którego wzór stanowi załącznik nr 1 do zarządzenia oraz sprawdza, czy podmiot ten jest wpisany do rejestru podmiotów wykonujących zawodową działalność lobbingową prowadzonego przez ministra właściwego do spraw administracji publicznej.</w:t>
      </w:r>
    </w:p>
    <w:p w14:paraId="6017E890" w14:textId="77777777" w:rsidR="00632B55" w:rsidRPr="00175814" w:rsidRDefault="00B60099" w:rsidP="0035425A">
      <w:pPr>
        <w:contextualSpacing w:val="0"/>
      </w:pPr>
      <w:r>
        <w:t xml:space="preserve">3. </w:t>
      </w:r>
      <w:r w:rsidR="00632B55" w:rsidRPr="00175814">
        <w:t>W przypadku odmowy wypełnienia formularza, o którym mowa w ust. 2, wystąpienie zostaje zakwalifikowane i rozpatrzone w oparciu o jego treść, zgodnie z procedurami obowiązującymi w</w:t>
      </w:r>
      <w:r w:rsidR="0035425A">
        <w:t> </w:t>
      </w:r>
      <w:r w:rsidR="00632B55" w:rsidRPr="00175814">
        <w:t>Urzędzie.</w:t>
      </w:r>
    </w:p>
    <w:p w14:paraId="1041CDAF" w14:textId="77777777" w:rsidR="00060B82" w:rsidRPr="00175814" w:rsidRDefault="00060B82" w:rsidP="0035425A">
      <w:pPr>
        <w:contextualSpacing w:val="0"/>
      </w:pPr>
      <w:r w:rsidRPr="00175814">
        <w:rPr>
          <w:b/>
        </w:rPr>
        <w:t>§ 4.</w:t>
      </w:r>
      <w:r w:rsidRPr="00175814">
        <w:t xml:space="preserve"> 1. Jeżeli organy m.st. Warszawy nie są właściwe w sprawie objętej wystąpieniem, komórka organizacyjna przekazuje wystąpienie do organu właściwego, zawiadamiając o tym równocześnie podmiot wykonujący działalność lobbingową, od którego wpłynęło wystąpienie oraz koordynatora.</w:t>
      </w:r>
    </w:p>
    <w:p w14:paraId="477C5F3B" w14:textId="77777777" w:rsidR="00060B82" w:rsidRPr="00175814" w:rsidRDefault="00060B82" w:rsidP="0035425A">
      <w:pPr>
        <w:contextualSpacing w:val="0"/>
      </w:pPr>
      <w:r w:rsidRPr="00175814">
        <w:t>2. Jeżeli komórka organizacyjna, do której wpłynęło wystąpienie, nie jest merytorycznie właściwa do zajęcia się sprawą, ustala właściwą komórkę organizacyjną i przesyła jej wystąpienie, celem zajęcia się sprawą, informując o tym drogą elektroniczną koordynatora.</w:t>
      </w:r>
    </w:p>
    <w:p w14:paraId="095E3E2B" w14:textId="77777777" w:rsidR="00060B82" w:rsidRPr="00175814" w:rsidRDefault="00060B82" w:rsidP="005D3FD7">
      <w:pPr>
        <w:spacing w:after="0"/>
      </w:pPr>
      <w:r w:rsidRPr="00175814">
        <w:t>3. Jeżeli komórka organizacyjna, do której wpłynęło wystąpienie jest merytorycznie właściwa do zajęcia się sprawą w części wystąpienia to:</w:t>
      </w:r>
    </w:p>
    <w:p w14:paraId="7F83A207" w14:textId="77777777" w:rsidR="00060B82" w:rsidRPr="00175814" w:rsidRDefault="00060B82" w:rsidP="00715F8B">
      <w:pPr>
        <w:pStyle w:val="Akapitzlist"/>
        <w:numPr>
          <w:ilvl w:val="0"/>
          <w:numId w:val="15"/>
        </w:numPr>
        <w:ind w:left="851" w:hanging="284"/>
      </w:pPr>
      <w:r w:rsidRPr="00175814">
        <w:t>ustala właściwe komórki organizacyjne i przesyła im wystąpienie, celem zajęcia się sprawą w zakresie ich właściwości, informując o tym drogą elektroniczną koordynatora;</w:t>
      </w:r>
    </w:p>
    <w:p w14:paraId="77EBDF66" w14:textId="7D26A260" w:rsidR="00060B82" w:rsidRPr="00175814" w:rsidRDefault="00060B82" w:rsidP="00715F8B">
      <w:pPr>
        <w:pStyle w:val="Akapitzlist"/>
        <w:numPr>
          <w:ilvl w:val="0"/>
          <w:numId w:val="15"/>
        </w:numPr>
        <w:ind w:left="851" w:hanging="284"/>
      </w:pPr>
      <w:r w:rsidRPr="00175814">
        <w:t>rozpoznaje wystąpienie w części,</w:t>
      </w:r>
      <w:r w:rsidR="0042617A">
        <w:t xml:space="preserve"> w jakiej jest właściwa.</w:t>
      </w:r>
    </w:p>
    <w:p w14:paraId="2EE64BCF" w14:textId="77777777" w:rsidR="00E83231" w:rsidRPr="00175814" w:rsidRDefault="00E83231" w:rsidP="005D3FD7">
      <w:pPr>
        <w:spacing w:after="0"/>
      </w:pPr>
      <w:r w:rsidRPr="00175814">
        <w:rPr>
          <w:b/>
        </w:rPr>
        <w:lastRenderedPageBreak/>
        <w:t xml:space="preserve">§ </w:t>
      </w:r>
      <w:r w:rsidR="00060B82" w:rsidRPr="00175814">
        <w:rPr>
          <w:b/>
        </w:rPr>
        <w:t>5</w:t>
      </w:r>
      <w:r w:rsidRPr="00175814">
        <w:rPr>
          <w:b/>
        </w:rPr>
        <w:t xml:space="preserve">. </w:t>
      </w:r>
      <w:r w:rsidRPr="00175814">
        <w:t>1. Komórka organizacyjna przesyła drogą elektroniczną kopię wystąpienia oraz formularza, o którym mowa w § 3 ust. 2, koordynatorowi, który:</w:t>
      </w:r>
    </w:p>
    <w:p w14:paraId="53F71280" w14:textId="77777777" w:rsidR="00E83231" w:rsidRPr="00175814" w:rsidRDefault="00E83231" w:rsidP="00715F8B">
      <w:pPr>
        <w:pStyle w:val="Akapitzlist"/>
        <w:numPr>
          <w:ilvl w:val="0"/>
          <w:numId w:val="16"/>
        </w:numPr>
        <w:ind w:left="851" w:hanging="284"/>
      </w:pPr>
      <w:r w:rsidRPr="00175814">
        <w:t>wpisuje wystąpienie do Rejestru;</w:t>
      </w:r>
    </w:p>
    <w:p w14:paraId="488D8B38" w14:textId="12277913" w:rsidR="00E83231" w:rsidRPr="00175814" w:rsidRDefault="00E83231" w:rsidP="00715F8B">
      <w:pPr>
        <w:pStyle w:val="Akapitzlist"/>
        <w:numPr>
          <w:ilvl w:val="0"/>
          <w:numId w:val="16"/>
        </w:numPr>
        <w:ind w:left="851" w:hanging="284"/>
      </w:pPr>
      <w:r w:rsidRPr="00175814">
        <w:t>w przypadku wystąpień pochodzących od podmiotów wykonujących zawodową działalność lobbingową, publikuje w Biuletynie Informacji Publicznej m.st. Warszawy, informację o wystąpieniu, ze wskazaniem podmiotu, od którego ono pochodzi oraz treś</w:t>
      </w:r>
      <w:r w:rsidR="006F4C07" w:rsidRPr="00175814">
        <w:t>ć</w:t>
      </w:r>
      <w:r w:rsidR="0042617A">
        <w:t xml:space="preserve"> wystąpienia.</w:t>
      </w:r>
    </w:p>
    <w:p w14:paraId="7922D18F" w14:textId="77777777" w:rsidR="00E83231" w:rsidRPr="00175814" w:rsidRDefault="00E83231" w:rsidP="0035425A">
      <w:pPr>
        <w:contextualSpacing w:val="0"/>
      </w:pPr>
      <w:r w:rsidRPr="00175814">
        <w:t>2. Komórka organizacyjna, przesyłając dokumenty, o których mowa w ust. 1, informuje koordynatora, czy podmiot, od którego pochodzi wystąpienie</w:t>
      </w:r>
      <w:r w:rsidR="00637C21" w:rsidRPr="00175814">
        <w:t>,</w:t>
      </w:r>
      <w:r w:rsidRPr="00175814">
        <w:t xml:space="preserve"> jest wpisany do rejestru podmiotów wykonujących zawodową działalność lobbingową prowadzonego przez ministra właściwego do spraw administracji publicznej.</w:t>
      </w:r>
    </w:p>
    <w:p w14:paraId="47CE6292" w14:textId="77777777" w:rsidR="00E83231" w:rsidRPr="00175814" w:rsidRDefault="00E83231" w:rsidP="0035425A">
      <w:pPr>
        <w:contextualSpacing w:val="0"/>
      </w:pPr>
      <w:r w:rsidRPr="00175814">
        <w:t xml:space="preserve">3. W przypadku stwierdzenia, że czynności wchodzące w zakres zawodowej działalności lobbingowej są wykonywane przez podmiot niewpisany do rejestru, o którym mowa w ust. 2, </w:t>
      </w:r>
      <w:r w:rsidR="00252330" w:rsidRPr="00175814">
        <w:t xml:space="preserve">kierownik </w:t>
      </w:r>
      <w:r w:rsidR="003B615C" w:rsidRPr="00175814">
        <w:t>komórk</w:t>
      </w:r>
      <w:r w:rsidR="00252330" w:rsidRPr="00175814">
        <w:t>i</w:t>
      </w:r>
      <w:r w:rsidR="003B615C" w:rsidRPr="00175814">
        <w:t xml:space="preserve"> organizacyjn</w:t>
      </w:r>
      <w:r w:rsidR="00252330" w:rsidRPr="00175814">
        <w:t>ej</w:t>
      </w:r>
      <w:r w:rsidR="00C11B0F" w:rsidRPr="00175814">
        <w:t xml:space="preserve"> </w:t>
      </w:r>
      <w:r w:rsidRPr="00175814">
        <w:t>niezwłocznie informuje o tym ministra właściwego do spraw administracji publicznej.</w:t>
      </w:r>
    </w:p>
    <w:p w14:paraId="53A84C2F" w14:textId="77777777" w:rsidR="00E83231" w:rsidRPr="00175814" w:rsidRDefault="00E83231" w:rsidP="0035425A">
      <w:pPr>
        <w:contextualSpacing w:val="0"/>
      </w:pPr>
      <w:r w:rsidRPr="00175814">
        <w:rPr>
          <w:b/>
        </w:rPr>
        <w:t xml:space="preserve">§ 6. </w:t>
      </w:r>
      <w:r w:rsidRPr="00175814">
        <w:t xml:space="preserve">1. Komórka organizacyjna udziela na piśmie odpowiedzi na wystąpienie </w:t>
      </w:r>
      <w:r w:rsidR="004757CD" w:rsidRPr="00175814">
        <w:t>lub</w:t>
      </w:r>
      <w:r w:rsidRPr="00175814">
        <w:t xml:space="preserve"> wyznacza termin spotkania w celu omówienia zagadnień zawartych w tym wystąpieniu. Spotkanie odbywa się w siedzibie Urzędu.</w:t>
      </w:r>
    </w:p>
    <w:p w14:paraId="7A7F9C69" w14:textId="77777777" w:rsidR="00E83231" w:rsidRPr="00175814" w:rsidRDefault="00E83231" w:rsidP="0035425A">
      <w:pPr>
        <w:contextualSpacing w:val="0"/>
      </w:pPr>
      <w:r w:rsidRPr="00175814">
        <w:t>2. Kopię pisma, o którym mowa w ust. 1, komórka organizacyjna przesyła drogą elektroniczną do koordynatora.</w:t>
      </w:r>
    </w:p>
    <w:p w14:paraId="0CA05338" w14:textId="77777777" w:rsidR="00E83231" w:rsidRPr="00175814" w:rsidRDefault="00E83231" w:rsidP="0035425A">
      <w:pPr>
        <w:contextualSpacing w:val="0"/>
      </w:pPr>
      <w:r w:rsidRPr="00175814">
        <w:t>3. W spotkaniu, o którym mowa w ust. 1, powinno brać udział przynajmniej dwóch pracowników Urzędu w tym jeden zatrudniony na kierowniczym stanowisku urzędniczym.</w:t>
      </w:r>
    </w:p>
    <w:p w14:paraId="7DA5548C" w14:textId="77777777" w:rsidR="00E83231" w:rsidRPr="00175814" w:rsidRDefault="00E83231" w:rsidP="005D3FD7">
      <w:pPr>
        <w:spacing w:after="0"/>
        <w:contextualSpacing w:val="0"/>
      </w:pPr>
      <w:r w:rsidRPr="00175814">
        <w:t>4. Przebieg spotkania, o którym mowa w ust. 1, dokumentowany jest poprzez sporządzenie notatki służbowej, która powinna zawierać co najmniej:</w:t>
      </w:r>
    </w:p>
    <w:p w14:paraId="4AA96A75" w14:textId="77777777" w:rsidR="00E83231" w:rsidRPr="00175814" w:rsidRDefault="00E83231" w:rsidP="00715F8B">
      <w:pPr>
        <w:pStyle w:val="Akapitzlist"/>
        <w:numPr>
          <w:ilvl w:val="0"/>
          <w:numId w:val="17"/>
        </w:numPr>
        <w:ind w:left="851" w:hanging="284"/>
      </w:pPr>
      <w:r w:rsidRPr="00175814">
        <w:t>określenie miejsca i terminu spotkania;</w:t>
      </w:r>
    </w:p>
    <w:p w14:paraId="6065DE0C" w14:textId="77777777" w:rsidR="00E83231" w:rsidRPr="00175814" w:rsidRDefault="00E83231" w:rsidP="00715F8B">
      <w:pPr>
        <w:pStyle w:val="Akapitzlist"/>
        <w:numPr>
          <w:ilvl w:val="0"/>
          <w:numId w:val="17"/>
        </w:numPr>
        <w:ind w:left="851" w:hanging="284"/>
      </w:pPr>
      <w:r w:rsidRPr="00175814">
        <w:t>dane identyfikujące podmiot wykonujący działalność lobbingową oraz osoby występujące w jego imieniu;</w:t>
      </w:r>
    </w:p>
    <w:p w14:paraId="3F046081" w14:textId="77777777" w:rsidR="00E83231" w:rsidRPr="00175814" w:rsidRDefault="00E83231" w:rsidP="00715F8B">
      <w:pPr>
        <w:pStyle w:val="Akapitzlist"/>
        <w:numPr>
          <w:ilvl w:val="0"/>
          <w:numId w:val="17"/>
        </w:numPr>
        <w:ind w:left="851" w:hanging="284"/>
      </w:pPr>
      <w:r w:rsidRPr="00175814">
        <w:t>dane osób występujących w imieniu Urzędu;</w:t>
      </w:r>
    </w:p>
    <w:p w14:paraId="25F70F27" w14:textId="77777777" w:rsidR="00E83231" w:rsidRPr="00175814" w:rsidRDefault="00E83231" w:rsidP="00715F8B">
      <w:pPr>
        <w:pStyle w:val="Akapitzlist"/>
        <w:numPr>
          <w:ilvl w:val="0"/>
          <w:numId w:val="17"/>
        </w:numPr>
        <w:ind w:left="851" w:hanging="284"/>
      </w:pPr>
      <w:r w:rsidRPr="00175814">
        <w:t>przedmiot spotkania i jego przebieg;</w:t>
      </w:r>
    </w:p>
    <w:p w14:paraId="120D204A" w14:textId="77777777" w:rsidR="00E83231" w:rsidRPr="00175814" w:rsidRDefault="00E83231" w:rsidP="00715F8B">
      <w:pPr>
        <w:pStyle w:val="Akapitzlist"/>
        <w:numPr>
          <w:ilvl w:val="0"/>
          <w:numId w:val="17"/>
        </w:numPr>
        <w:ind w:left="851" w:hanging="284"/>
      </w:pPr>
      <w:r w:rsidRPr="00175814">
        <w:t>podpisy pracownika sporządzającego notatkę oraz pozostałych uczestników spotkania.</w:t>
      </w:r>
    </w:p>
    <w:p w14:paraId="1C9C778C" w14:textId="77777777" w:rsidR="00E83231" w:rsidRPr="00175814" w:rsidRDefault="00E83231" w:rsidP="0035425A">
      <w:pPr>
        <w:contextualSpacing w:val="0"/>
      </w:pPr>
      <w:r w:rsidRPr="00175814">
        <w:t>5. Wzór notatki stanowi załącznik nr 2 do zarządzenia.</w:t>
      </w:r>
    </w:p>
    <w:p w14:paraId="39A30655" w14:textId="77777777" w:rsidR="00E83231" w:rsidRPr="00175814" w:rsidRDefault="00E83231" w:rsidP="0035425A">
      <w:pPr>
        <w:contextualSpacing w:val="0"/>
        <w:rPr>
          <w:i/>
        </w:rPr>
      </w:pPr>
      <w:r w:rsidRPr="00175814">
        <w:t>6. Kopię notatki służbowej udostępnia się osobom obecnym na spotkaniu oraz przekazuje się drogą elektroniczną koordynatorowi i kierownikowi komórki organizacyjnej</w:t>
      </w:r>
      <w:r w:rsidR="00815350">
        <w:rPr>
          <w:i/>
        </w:rPr>
        <w:t>.</w:t>
      </w:r>
    </w:p>
    <w:p w14:paraId="3E36C7DE" w14:textId="77777777" w:rsidR="00E83231" w:rsidRPr="00175814" w:rsidRDefault="00F41C58" w:rsidP="0035425A">
      <w:pPr>
        <w:contextualSpacing w:val="0"/>
      </w:pPr>
      <w:r>
        <w:rPr>
          <w:b/>
        </w:rPr>
        <w:t xml:space="preserve">§ </w:t>
      </w:r>
      <w:r w:rsidR="00E83231" w:rsidRPr="00175814">
        <w:rPr>
          <w:b/>
        </w:rPr>
        <w:t xml:space="preserve">7. </w:t>
      </w:r>
      <w:r w:rsidR="00E83231" w:rsidRPr="00175814">
        <w:t>1.</w:t>
      </w:r>
      <w:r w:rsidR="00E83231" w:rsidRPr="00175814">
        <w:rPr>
          <w:b/>
        </w:rPr>
        <w:t xml:space="preserve"> </w:t>
      </w:r>
      <w:r w:rsidR="00E83231" w:rsidRPr="00175814">
        <w:t>Komórka organizacyjna przesyła do koordynatora informację o sposobie załatwienia sprawy przedstawionej w wystąpieniu podmiotu wykonującego działalność lobbingową.</w:t>
      </w:r>
    </w:p>
    <w:p w14:paraId="569E5315" w14:textId="77777777" w:rsidR="00E83231" w:rsidRPr="00175814" w:rsidRDefault="00E83231" w:rsidP="0035425A">
      <w:pPr>
        <w:contextualSpacing w:val="0"/>
      </w:pPr>
      <w:r w:rsidRPr="00175814">
        <w:lastRenderedPageBreak/>
        <w:t>2. Informacja, o której mowa w ust. 1, zawiera w szczególności określenie wpływu, jaki wywarł podmiot wykonujący działalność lobbingową w danej sprawie.</w:t>
      </w:r>
    </w:p>
    <w:p w14:paraId="12E638C1" w14:textId="1E126278" w:rsidR="00E83231" w:rsidRPr="00175814" w:rsidRDefault="00E83231" w:rsidP="0035425A">
      <w:pPr>
        <w:contextualSpacing w:val="0"/>
      </w:pPr>
      <w:r w:rsidRPr="00175814">
        <w:rPr>
          <w:b/>
        </w:rPr>
        <w:t xml:space="preserve">§ 8. </w:t>
      </w:r>
      <w:r w:rsidRPr="00175814">
        <w:t>W przypadku, gdy wystąpienie przyjmuje postać rozmowy telefonicznej pracownika Urzędu z podmiotem wykonującym działalność lobbingową, pracownik ten informuje podmiot o obowiązującym sposobie postępowania w sprawach, w których jest wykonywana działalność lobbingowa, tj. o procedurze pisemnej.</w:t>
      </w:r>
    </w:p>
    <w:p w14:paraId="251BFBB6" w14:textId="33F70A76" w:rsidR="00E83231" w:rsidRPr="00175814" w:rsidRDefault="00E83231" w:rsidP="005D3FD7">
      <w:pPr>
        <w:spacing w:after="0"/>
        <w:contextualSpacing w:val="0"/>
        <w:rPr>
          <w:b/>
        </w:rPr>
      </w:pPr>
      <w:r w:rsidRPr="00175814">
        <w:rPr>
          <w:b/>
        </w:rPr>
        <w:t xml:space="preserve">§ 9. </w:t>
      </w:r>
      <w:r w:rsidRPr="00175814">
        <w:t>Koordynator prowadzi Rejestr w formie papierowej lub elektronicznej, w którym wpisuje się</w:t>
      </w:r>
      <w:r w:rsidR="00C36BBB" w:rsidRPr="00175814">
        <w:t>:</w:t>
      </w:r>
    </w:p>
    <w:p w14:paraId="3D94466A" w14:textId="77777777" w:rsidR="00E83231" w:rsidRPr="00175814" w:rsidRDefault="00E83231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dane podmiotu, od którego pochodzi wystąpienie, wraz z określeniem czy podmiot wykonuje zawodową działalność lobbingową;</w:t>
      </w:r>
    </w:p>
    <w:p w14:paraId="7C5E2D6A" w14:textId="019ED10F" w:rsidR="00E83231" w:rsidRPr="00175814" w:rsidRDefault="00E83231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numer wpisu podmiotu w rejestrze podmiotów wykonujących zawodową działalność lobbingową, jeżeli</w:t>
      </w:r>
      <w:r w:rsidR="0042617A">
        <w:t xml:space="preserve"> jest wpisany do tego rejestru;</w:t>
      </w:r>
    </w:p>
    <w:p w14:paraId="440144B4" w14:textId="5790FDAD" w:rsidR="00F5354C" w:rsidRPr="00175814" w:rsidRDefault="00E83231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datę wpływu wystąpienia do Urzędu;</w:t>
      </w:r>
    </w:p>
    <w:p w14:paraId="7FB57757" w14:textId="2129B2E2" w:rsidR="00E83231" w:rsidRPr="00175814" w:rsidRDefault="00E83231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wskazanie podmiotów, na rzecz których działalno</w:t>
      </w:r>
      <w:r w:rsidR="0042617A">
        <w:t>ść lobbingowa jest wykonywana;</w:t>
      </w:r>
    </w:p>
    <w:p w14:paraId="6FB04F85" w14:textId="77777777" w:rsidR="00DF4D0A" w:rsidRPr="00175814" w:rsidRDefault="00DF4D0A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określenie przedmiotu wystąpienia, w tym postulowanych w nim rozwiązań;</w:t>
      </w:r>
    </w:p>
    <w:p w14:paraId="59E79887" w14:textId="77777777" w:rsidR="009A4463" w:rsidRPr="00175814" w:rsidRDefault="009A4463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formę podjętej zawodowej działalności lobbingowej, wraz ze wskazaniem, czy polegała ona na wspieraniu określonych projektów, czy też na występowaniu przeciwko tym projektom;</w:t>
      </w:r>
    </w:p>
    <w:p w14:paraId="24D34C96" w14:textId="77777777" w:rsidR="00E83231" w:rsidRPr="00175814" w:rsidRDefault="00E83231" w:rsidP="0008260E">
      <w:pPr>
        <w:pStyle w:val="Akapitzlist"/>
        <w:numPr>
          <w:ilvl w:val="0"/>
          <w:numId w:val="18"/>
        </w:numPr>
        <w:ind w:left="851" w:hanging="284"/>
      </w:pPr>
      <w:r w:rsidRPr="00175814">
        <w:t>wpływ, jaki wywarł podmiot wykonujący działalność lobbingową w danej sprawie.</w:t>
      </w:r>
    </w:p>
    <w:p w14:paraId="592DCC4A" w14:textId="77777777" w:rsidR="00E83231" w:rsidRPr="00175814" w:rsidRDefault="00E83231" w:rsidP="0035425A">
      <w:pPr>
        <w:contextualSpacing w:val="0"/>
      </w:pPr>
      <w:r w:rsidRPr="00175814">
        <w:rPr>
          <w:b/>
        </w:rPr>
        <w:t xml:space="preserve">§ 10. </w:t>
      </w:r>
      <w:r w:rsidRPr="00175814">
        <w:t xml:space="preserve">1. </w:t>
      </w:r>
      <w:r w:rsidR="00C36BBB" w:rsidRPr="00175814">
        <w:t xml:space="preserve">Dyrektor biura właściwego do spraw </w:t>
      </w:r>
      <w:r w:rsidR="00465421" w:rsidRPr="00175814">
        <w:t>zgodności</w:t>
      </w:r>
      <w:r w:rsidR="00C36BBB" w:rsidRPr="00175814">
        <w:t xml:space="preserve"> </w:t>
      </w:r>
      <w:r w:rsidRPr="00175814">
        <w:t xml:space="preserve">występuje, do </w:t>
      </w:r>
      <w:r w:rsidR="007D1FD5" w:rsidRPr="00175814">
        <w:t>1</w:t>
      </w:r>
      <w:r w:rsidRPr="00175814">
        <w:t>5 stycznia każdego roku, do Przewodniczącego Rady m.st. Warszawy o udzielenie informacji o działaniach podejmowanych wobec Rady m.st. Warszawy w roku poprzednim przez podmioty wykonujące zawodową działalność lobbingową.</w:t>
      </w:r>
    </w:p>
    <w:p w14:paraId="4D031CC2" w14:textId="3292B22C" w:rsidR="00E83231" w:rsidRPr="00175814" w:rsidRDefault="00E83231" w:rsidP="0035425A">
      <w:pPr>
        <w:contextualSpacing w:val="0"/>
        <w:rPr>
          <w:b/>
        </w:rPr>
      </w:pPr>
      <w:r w:rsidRPr="00175814">
        <w:t xml:space="preserve">2. Burmistrz dzielnicy m.st. Warszawy występuje, do </w:t>
      </w:r>
      <w:r w:rsidR="003B615C" w:rsidRPr="00175814">
        <w:t>1</w:t>
      </w:r>
      <w:r w:rsidRPr="00175814">
        <w:t xml:space="preserve">5 stycznia każdego roku, do przewodniczącego rady dzielnicy m.st. Warszawy o udzielenie informacji o działaniach podejmowanych wobec rady dzielnicy m.st. Warszawy w roku poprzednim przez podmioty wykonujące zawodową działalność lobbingową. Burmistrz przekazuje, w terminie do </w:t>
      </w:r>
      <w:r w:rsidR="003B615C" w:rsidRPr="00175814">
        <w:t xml:space="preserve">końca </w:t>
      </w:r>
      <w:r w:rsidRPr="00175814">
        <w:t>stycznia danego roku, udzielone przez przewodniczącego rady dzielnicy m.st. Warszawy informacje, koordynatorowi.</w:t>
      </w:r>
    </w:p>
    <w:p w14:paraId="0B730B35" w14:textId="77777777" w:rsidR="00E83231" w:rsidRPr="00175814" w:rsidRDefault="00E83231" w:rsidP="0035425A">
      <w:pPr>
        <w:contextualSpacing w:val="0"/>
      </w:pPr>
      <w:r w:rsidRPr="00175814">
        <w:t>3. Koordynator</w:t>
      </w:r>
      <w:r w:rsidR="00637C21" w:rsidRPr="00175814">
        <w:t>,</w:t>
      </w:r>
      <w:r w:rsidRPr="00175814">
        <w:t xml:space="preserve"> na podstawie Rejestru oraz informacji udzielonych przez Przewodniczącego Rady m.st. Warszawy i przewodniczących rad dzielnic m.st. Warszawy, opracowuje raz w roku, do </w:t>
      </w:r>
      <w:r w:rsidR="00C36BBB" w:rsidRPr="00175814">
        <w:t>20</w:t>
      </w:r>
      <w:r w:rsidR="00FE54A3" w:rsidRPr="00175814">
        <w:t xml:space="preserve"> </w:t>
      </w:r>
      <w:r w:rsidR="003B615C" w:rsidRPr="00175814">
        <w:t>lutego</w:t>
      </w:r>
      <w:r w:rsidRPr="00175814">
        <w:t>, informację, o której mowa w art. 18 ustawy i</w:t>
      </w:r>
      <w:r w:rsidR="00FA0181" w:rsidRPr="00175814">
        <w:t> </w:t>
      </w:r>
      <w:r w:rsidRPr="00175814">
        <w:t>przekazuje ją Prezydentowi m.st. Warszawy celem zatwierdzenia.</w:t>
      </w:r>
    </w:p>
    <w:p w14:paraId="5781A3BB" w14:textId="77777777" w:rsidR="00E83231" w:rsidRPr="00175814" w:rsidRDefault="00E83231" w:rsidP="0035425A">
      <w:pPr>
        <w:contextualSpacing w:val="0"/>
      </w:pPr>
      <w:r w:rsidRPr="00175814">
        <w:t>4. Po zatwierdzeniu informacji przez Prezydenta m.st. Warszawy koordynator niezwłocznie udostępnia ją w Biuletynie Informacji Publicznej m.st. Warszawy.</w:t>
      </w:r>
    </w:p>
    <w:p w14:paraId="23730E9C" w14:textId="2693087B" w:rsidR="00E83231" w:rsidRPr="00175814" w:rsidRDefault="00E83231" w:rsidP="0035425A">
      <w:pPr>
        <w:contextualSpacing w:val="0"/>
      </w:pPr>
      <w:r w:rsidRPr="00175814">
        <w:rPr>
          <w:b/>
        </w:rPr>
        <w:t xml:space="preserve">§ 11. </w:t>
      </w:r>
      <w:r w:rsidRPr="00175814">
        <w:t>Koordynator ponosi odpowiedzialność za należyte zabezpieczenie danych w</w:t>
      </w:r>
      <w:r w:rsidR="00FA0181" w:rsidRPr="00175814">
        <w:t> </w:t>
      </w:r>
      <w:r w:rsidRPr="00175814">
        <w:t>Rejestrze, zgodnie z przepisami</w:t>
      </w:r>
      <w:r w:rsidR="00456AB9" w:rsidRPr="00456AB9">
        <w:t xml:space="preserve"> Rozporządzenia Parlamentu Europejskiego i Rady (UE) 2016/679 z dnia 27 </w:t>
      </w:r>
      <w:r w:rsidR="00456AB9" w:rsidRPr="00456AB9">
        <w:lastRenderedPageBreak/>
        <w:t>kwietnia 2016 r. w sprawie ochrony osób fizycznych w związku z przetwarzaniem danych osobowych i w sprawie swobodnego przepływu takich danych oraz uchylenia dyrektywy 95/46/WE (ogólne rozporządzenie o ochronie danych) (Dz. Urz. UE</w:t>
      </w:r>
      <w:r w:rsidR="00456AB9">
        <w:t>. L nr 119 z 04.05.2016, str.1) oraz</w:t>
      </w:r>
      <w:r w:rsidR="00550FA7">
        <w:t xml:space="preserve"> ustawy z dnia 10 maja 20</w:t>
      </w:r>
      <w:r w:rsidR="00330F4F">
        <w:t>1</w:t>
      </w:r>
      <w:r w:rsidR="00550FA7">
        <w:t>8</w:t>
      </w:r>
      <w:r w:rsidRPr="00175814">
        <w:t xml:space="preserve"> r. o ochronie danych osobowych (Dz. U. 201</w:t>
      </w:r>
      <w:r w:rsidR="00530858" w:rsidRPr="00175814">
        <w:t>9</w:t>
      </w:r>
      <w:r w:rsidRPr="00175814">
        <w:t xml:space="preserve"> poz. </w:t>
      </w:r>
      <w:r w:rsidR="00530858" w:rsidRPr="00175814">
        <w:t>1781</w:t>
      </w:r>
      <w:r w:rsidRPr="00175814">
        <w:t>).</w:t>
      </w:r>
    </w:p>
    <w:p w14:paraId="100429B4" w14:textId="77777777" w:rsidR="00E83231" w:rsidRPr="00175814" w:rsidRDefault="00E83231" w:rsidP="0035425A">
      <w:pPr>
        <w:contextualSpacing w:val="0"/>
      </w:pPr>
      <w:r w:rsidRPr="00175814">
        <w:rPr>
          <w:b/>
        </w:rPr>
        <w:t>§ 12.</w:t>
      </w:r>
      <w:r w:rsidRPr="00175814">
        <w:rPr>
          <w:i/>
        </w:rPr>
        <w:t xml:space="preserve"> </w:t>
      </w:r>
      <w:r w:rsidRPr="00175814">
        <w:t xml:space="preserve">Wykonanie zarządzenia powierza się Zastępcom Prezydenta m.st. Warszawy, Sekretarzowi m.st. Warszawy, Skarbnikowi m.st. Warszawy, </w:t>
      </w:r>
      <w:r w:rsidR="004757CD" w:rsidRPr="00175814">
        <w:t xml:space="preserve">Burmistrzom </w:t>
      </w:r>
      <w:r w:rsidRPr="00175814">
        <w:t>Dzielnic m.st. Warszawy, Dyrektorom biur oraz Kierownikowi Urzędu Stanu Cywilnego m.st. Warszawy.</w:t>
      </w:r>
    </w:p>
    <w:p w14:paraId="0AC08642" w14:textId="73F82529" w:rsidR="00E83231" w:rsidRPr="00175814" w:rsidRDefault="00E83231" w:rsidP="0035425A">
      <w:pPr>
        <w:contextualSpacing w:val="0"/>
      </w:pPr>
      <w:r w:rsidRPr="00175814">
        <w:rPr>
          <w:b/>
        </w:rPr>
        <w:t>§ 13. </w:t>
      </w:r>
      <w:r w:rsidRPr="00175814">
        <w:t>1. Zarządzenie podlega publikacji w Biuletynie Informac</w:t>
      </w:r>
      <w:r w:rsidR="0042617A">
        <w:t>ji Publicznej m.st. Warszawy.</w:t>
      </w:r>
    </w:p>
    <w:p w14:paraId="16EB375E" w14:textId="0E2543E4" w:rsidR="00E83231" w:rsidRDefault="00E83231" w:rsidP="0035425A">
      <w:pPr>
        <w:contextualSpacing w:val="0"/>
      </w:pPr>
      <w:r w:rsidRPr="00175814">
        <w:t xml:space="preserve">2. </w:t>
      </w:r>
      <w:r w:rsidR="00FB6D1B" w:rsidRPr="00FB6D1B">
        <w:t>Zarządzenie</w:t>
      </w:r>
      <w:r w:rsidR="005146B4" w:rsidRPr="005146B4">
        <w:t xml:space="preserve"> wchodzi w życie z upływem 7 dni od dnia publikacji w Biuletynie Informacji Publicznej m.st. Warszawy</w:t>
      </w:r>
      <w:r w:rsidR="00FE7180">
        <w:t>.</w:t>
      </w:r>
    </w:p>
    <w:p w14:paraId="58B7DD20" w14:textId="77777777" w:rsidR="00283E2E" w:rsidRPr="007B5AAE" w:rsidRDefault="00283E2E" w:rsidP="0060692B">
      <w:pPr>
        <w:spacing w:after="0"/>
        <w:ind w:left="5103" w:firstLine="0"/>
        <w:rPr>
          <w:b/>
        </w:rPr>
      </w:pPr>
      <w:r w:rsidRPr="007B5AAE">
        <w:rPr>
          <w:b/>
        </w:rPr>
        <w:t>Prezydent</w:t>
      </w:r>
    </w:p>
    <w:p w14:paraId="599950BF" w14:textId="53D0766B" w:rsidR="00283E2E" w:rsidRPr="00DA5AA9" w:rsidRDefault="00283E2E" w:rsidP="00DA5AA9">
      <w:pPr>
        <w:spacing w:after="0"/>
        <w:ind w:left="4253" w:firstLine="0"/>
        <w:rPr>
          <w:b/>
        </w:rPr>
      </w:pPr>
      <w:r w:rsidRPr="007B5AAE">
        <w:rPr>
          <w:b/>
        </w:rPr>
        <w:t>Miasta Stołecznego Warszawy</w:t>
      </w:r>
    </w:p>
    <w:sectPr w:rsidR="00283E2E" w:rsidRPr="00DA5AA9" w:rsidSect="00F41C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258EB" w14:textId="77777777" w:rsidR="00424B39" w:rsidRDefault="00424B39" w:rsidP="00E83231">
      <w:r>
        <w:separator/>
      </w:r>
    </w:p>
  </w:endnote>
  <w:endnote w:type="continuationSeparator" w:id="0">
    <w:p w14:paraId="530E78D6" w14:textId="77777777" w:rsidR="00424B39" w:rsidRDefault="00424B39" w:rsidP="00E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A815" w14:textId="77777777" w:rsidR="00B2634B" w:rsidRDefault="00690A75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62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C7F663" w14:textId="77777777" w:rsidR="00B2634B" w:rsidRDefault="00424B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7B306" w14:textId="6B0C0A8B" w:rsidR="00B2634B" w:rsidRDefault="00690A75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562A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3226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6DBB2B8" w14:textId="77777777" w:rsidR="00B2634B" w:rsidRDefault="00424B39" w:rsidP="00815350">
    <w:pPr>
      <w:pStyle w:val="Stopka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0CFC7" w14:textId="77777777" w:rsidR="00F41C58" w:rsidRDefault="00F41C58" w:rsidP="00F41C58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CCF2" w14:textId="77777777" w:rsidR="00424B39" w:rsidRDefault="00424B39" w:rsidP="00E83231">
      <w:r>
        <w:separator/>
      </w:r>
    </w:p>
  </w:footnote>
  <w:footnote w:type="continuationSeparator" w:id="0">
    <w:p w14:paraId="48136ED6" w14:textId="77777777" w:rsidR="00424B39" w:rsidRDefault="00424B39" w:rsidP="00E83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B6156" w14:textId="77777777" w:rsidR="00815350" w:rsidRDefault="00815350" w:rsidP="00815350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3686E" w14:textId="64B82444" w:rsidR="00175814" w:rsidRPr="00F41C58" w:rsidRDefault="00175814" w:rsidP="00F41C58">
    <w:pPr>
      <w:pStyle w:val="Nagwek"/>
      <w:ind w:firstLine="0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2AB"/>
    <w:multiLevelType w:val="hybridMultilevel"/>
    <w:tmpl w:val="DCE4BCD4"/>
    <w:lvl w:ilvl="0" w:tplc="C3EE3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039AD"/>
    <w:multiLevelType w:val="hybridMultilevel"/>
    <w:tmpl w:val="75A4A1D0"/>
    <w:lvl w:ilvl="0" w:tplc="1D5CB2D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40D4416"/>
    <w:multiLevelType w:val="hybridMultilevel"/>
    <w:tmpl w:val="D71A9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7784"/>
    <w:multiLevelType w:val="hybridMultilevel"/>
    <w:tmpl w:val="9DDA4538"/>
    <w:lvl w:ilvl="0" w:tplc="C3EE3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53295"/>
    <w:multiLevelType w:val="hybridMultilevel"/>
    <w:tmpl w:val="CBC26D1E"/>
    <w:lvl w:ilvl="0" w:tplc="C3EE3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9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B7CED"/>
    <w:multiLevelType w:val="hybridMultilevel"/>
    <w:tmpl w:val="C6E28308"/>
    <w:lvl w:ilvl="0" w:tplc="C3EE33E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3B26357"/>
    <w:multiLevelType w:val="hybridMultilevel"/>
    <w:tmpl w:val="95B6DF1C"/>
    <w:lvl w:ilvl="0" w:tplc="C3EE33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8B6530"/>
    <w:multiLevelType w:val="hybridMultilevel"/>
    <w:tmpl w:val="53AA122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106A43"/>
    <w:multiLevelType w:val="hybridMultilevel"/>
    <w:tmpl w:val="B748D6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350A41"/>
    <w:multiLevelType w:val="hybridMultilevel"/>
    <w:tmpl w:val="466CE9BC"/>
    <w:lvl w:ilvl="0" w:tplc="C3EE33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E9D2862"/>
    <w:multiLevelType w:val="hybridMultilevel"/>
    <w:tmpl w:val="DCCE802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0037F5"/>
    <w:multiLevelType w:val="hybridMultilevel"/>
    <w:tmpl w:val="E95871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B201EF"/>
    <w:multiLevelType w:val="hybridMultilevel"/>
    <w:tmpl w:val="D4E878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7F300B8"/>
    <w:multiLevelType w:val="hybridMultilevel"/>
    <w:tmpl w:val="8A0A37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A4B21"/>
    <w:multiLevelType w:val="hybridMultilevel"/>
    <w:tmpl w:val="F45ADC18"/>
    <w:lvl w:ilvl="0" w:tplc="C3EE33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F82989"/>
    <w:multiLevelType w:val="hybridMultilevel"/>
    <w:tmpl w:val="AE58FFDC"/>
    <w:lvl w:ilvl="0" w:tplc="6F207D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512B5A"/>
    <w:multiLevelType w:val="hybridMultilevel"/>
    <w:tmpl w:val="B24473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B47731"/>
    <w:multiLevelType w:val="hybridMultilevel"/>
    <w:tmpl w:val="D4BCDB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4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17"/>
  </w:num>
  <w:num w:numId="16">
    <w:abstractNumId w:val="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31"/>
    <w:rsid w:val="000056E3"/>
    <w:rsid w:val="000146F2"/>
    <w:rsid w:val="00020A18"/>
    <w:rsid w:val="00060B82"/>
    <w:rsid w:val="00074AA7"/>
    <w:rsid w:val="00077E50"/>
    <w:rsid w:val="0008260E"/>
    <w:rsid w:val="000951CC"/>
    <w:rsid w:val="000E4A82"/>
    <w:rsid w:val="00151C1D"/>
    <w:rsid w:val="001558DE"/>
    <w:rsid w:val="00175814"/>
    <w:rsid w:val="00190932"/>
    <w:rsid w:val="002040FE"/>
    <w:rsid w:val="00225B9B"/>
    <w:rsid w:val="00242D5B"/>
    <w:rsid w:val="00252330"/>
    <w:rsid w:val="002562AC"/>
    <w:rsid w:val="00283E2E"/>
    <w:rsid w:val="002927F2"/>
    <w:rsid w:val="002D3AC8"/>
    <w:rsid w:val="00330F4F"/>
    <w:rsid w:val="0035425A"/>
    <w:rsid w:val="003B615C"/>
    <w:rsid w:val="00424B39"/>
    <w:rsid w:val="0042617A"/>
    <w:rsid w:val="004512DB"/>
    <w:rsid w:val="00452677"/>
    <w:rsid w:val="0045650B"/>
    <w:rsid w:val="00456AB9"/>
    <w:rsid w:val="00465421"/>
    <w:rsid w:val="004757CD"/>
    <w:rsid w:val="004768C4"/>
    <w:rsid w:val="00487F19"/>
    <w:rsid w:val="004A5A45"/>
    <w:rsid w:val="004F5C10"/>
    <w:rsid w:val="00501EE1"/>
    <w:rsid w:val="005146B4"/>
    <w:rsid w:val="00530858"/>
    <w:rsid w:val="00544450"/>
    <w:rsid w:val="00546B76"/>
    <w:rsid w:val="00550FA7"/>
    <w:rsid w:val="0058434D"/>
    <w:rsid w:val="00597453"/>
    <w:rsid w:val="005D3FD7"/>
    <w:rsid w:val="005D55BB"/>
    <w:rsid w:val="0060020F"/>
    <w:rsid w:val="0060692B"/>
    <w:rsid w:val="00632B55"/>
    <w:rsid w:val="00637C21"/>
    <w:rsid w:val="00650B89"/>
    <w:rsid w:val="006708D8"/>
    <w:rsid w:val="0068788A"/>
    <w:rsid w:val="00690A75"/>
    <w:rsid w:val="006B039D"/>
    <w:rsid w:val="006F4C07"/>
    <w:rsid w:val="00705790"/>
    <w:rsid w:val="00715F8B"/>
    <w:rsid w:val="00717346"/>
    <w:rsid w:val="00767285"/>
    <w:rsid w:val="0077301C"/>
    <w:rsid w:val="00785968"/>
    <w:rsid w:val="007D1FD5"/>
    <w:rsid w:val="007F0851"/>
    <w:rsid w:val="00815350"/>
    <w:rsid w:val="00831F15"/>
    <w:rsid w:val="008549DE"/>
    <w:rsid w:val="00857F47"/>
    <w:rsid w:val="00865568"/>
    <w:rsid w:val="008746F0"/>
    <w:rsid w:val="00891BAF"/>
    <w:rsid w:val="00894C8F"/>
    <w:rsid w:val="008E3249"/>
    <w:rsid w:val="008F756D"/>
    <w:rsid w:val="009105C6"/>
    <w:rsid w:val="00941E76"/>
    <w:rsid w:val="00953112"/>
    <w:rsid w:val="009706D7"/>
    <w:rsid w:val="009A4463"/>
    <w:rsid w:val="009B1B3E"/>
    <w:rsid w:val="009F7D0C"/>
    <w:rsid w:val="00A318CD"/>
    <w:rsid w:val="00A6421D"/>
    <w:rsid w:val="00A75818"/>
    <w:rsid w:val="00A80ADC"/>
    <w:rsid w:val="00A9064B"/>
    <w:rsid w:val="00AA44F4"/>
    <w:rsid w:val="00AB1B11"/>
    <w:rsid w:val="00AF3CD0"/>
    <w:rsid w:val="00B23936"/>
    <w:rsid w:val="00B23F12"/>
    <w:rsid w:val="00B43717"/>
    <w:rsid w:val="00B60099"/>
    <w:rsid w:val="00B7531F"/>
    <w:rsid w:val="00BA2249"/>
    <w:rsid w:val="00C0044F"/>
    <w:rsid w:val="00C11075"/>
    <w:rsid w:val="00C11B0F"/>
    <w:rsid w:val="00C36BBB"/>
    <w:rsid w:val="00C66CEC"/>
    <w:rsid w:val="00C86246"/>
    <w:rsid w:val="00C96D50"/>
    <w:rsid w:val="00CC4520"/>
    <w:rsid w:val="00CE111B"/>
    <w:rsid w:val="00CE3979"/>
    <w:rsid w:val="00D0057C"/>
    <w:rsid w:val="00D058EC"/>
    <w:rsid w:val="00D63226"/>
    <w:rsid w:val="00D82786"/>
    <w:rsid w:val="00D9614C"/>
    <w:rsid w:val="00DA04B2"/>
    <w:rsid w:val="00DA4C09"/>
    <w:rsid w:val="00DA5AA9"/>
    <w:rsid w:val="00DC3B2B"/>
    <w:rsid w:val="00DC3E79"/>
    <w:rsid w:val="00DC512D"/>
    <w:rsid w:val="00DF4D0A"/>
    <w:rsid w:val="00DF75FD"/>
    <w:rsid w:val="00E30831"/>
    <w:rsid w:val="00E434C1"/>
    <w:rsid w:val="00E83231"/>
    <w:rsid w:val="00F06660"/>
    <w:rsid w:val="00F41C58"/>
    <w:rsid w:val="00F42FF9"/>
    <w:rsid w:val="00F52481"/>
    <w:rsid w:val="00F5354C"/>
    <w:rsid w:val="00F75A0C"/>
    <w:rsid w:val="00FA0181"/>
    <w:rsid w:val="00FA0D41"/>
    <w:rsid w:val="00FB6D1B"/>
    <w:rsid w:val="00FB6E5D"/>
    <w:rsid w:val="00FC5576"/>
    <w:rsid w:val="00FD15FB"/>
    <w:rsid w:val="00FD45C0"/>
    <w:rsid w:val="00FE4FCA"/>
    <w:rsid w:val="00FE54A3"/>
    <w:rsid w:val="00FE7180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AFEB"/>
  <w15:docId w15:val="{376F8A46-9EFB-408E-AE55-D05E0BAD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8DE"/>
    <w:pPr>
      <w:spacing w:after="240" w:line="300" w:lineRule="auto"/>
      <w:ind w:firstLine="567"/>
      <w:contextualSpacing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6D7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8323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E832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8323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E832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3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83231"/>
  </w:style>
  <w:style w:type="paragraph" w:styleId="Akapitzlist">
    <w:name w:val="List Paragraph"/>
    <w:basedOn w:val="Normalny"/>
    <w:uiPriority w:val="34"/>
    <w:qFormat/>
    <w:rsid w:val="00E8323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11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11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1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2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2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2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7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5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8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06D7"/>
    <w:rPr>
      <w:rFonts w:ascii="Calibri" w:eastAsiaTheme="majorEastAsia" w:hAnsi="Calibri" w:cstheme="majorBidi"/>
      <w:b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67285"/>
    <w:pPr>
      <w:widowControl w:val="0"/>
      <w:shd w:val="clear" w:color="auto" w:fill="FFFFFF"/>
      <w:autoSpaceDE w:val="0"/>
      <w:autoSpaceDN w:val="0"/>
      <w:adjustRightInd w:val="0"/>
      <w:spacing w:after="0" w:line="0" w:lineRule="atLeast"/>
      <w:ind w:firstLine="0"/>
      <w:contextualSpacing w:val="0"/>
      <w:jc w:val="both"/>
    </w:pPr>
    <w:rPr>
      <w:rFonts w:ascii="Times New Roman" w:hAnsi="Times New Roman"/>
      <w:color w:val="000000"/>
      <w:sz w:val="24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767285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52F03-059D-4ECE-A326-82AAF7C6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678/2017 Prezydenta Miasta Stołecznego Warszawy</vt:lpstr>
    </vt:vector>
  </TitlesOfParts>
  <Company>Urząd Miasta Stołecznego Warszawy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678/2017 Prezydenta Miasta Stołecznego Warszawy</dc:title>
  <dc:creator>bpietrzak</dc:creator>
  <cp:lastModifiedBy>Rysiewska-Dąbkowska Faustyna (GP)</cp:lastModifiedBy>
  <cp:revision>2</cp:revision>
  <cp:lastPrinted>2017-04-04T09:49:00Z</cp:lastPrinted>
  <dcterms:created xsi:type="dcterms:W3CDTF">2024-02-22T12:09:00Z</dcterms:created>
  <dcterms:modified xsi:type="dcterms:W3CDTF">2024-02-22T12:09:00Z</dcterms:modified>
</cp:coreProperties>
</file>